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1230" w:type="dxa"/>
        <w:tblLook w:val="04A0" w:firstRow="1" w:lastRow="0" w:firstColumn="1" w:lastColumn="0" w:noHBand="0" w:noVBand="1"/>
      </w:tblPr>
      <w:tblGrid>
        <w:gridCol w:w="10598"/>
        <w:gridCol w:w="10632"/>
      </w:tblGrid>
      <w:tr w:rsidR="00882DE1" w:rsidTr="00BF6D0C">
        <w:tc>
          <w:tcPr>
            <w:tcW w:w="10598" w:type="dxa"/>
          </w:tcPr>
          <w:p w:rsidR="00882DE1" w:rsidRDefault="00882DE1" w:rsidP="007651A4"/>
        </w:tc>
        <w:tc>
          <w:tcPr>
            <w:tcW w:w="10632" w:type="dxa"/>
          </w:tcPr>
          <w:p w:rsidR="00882DE1" w:rsidRPr="00044A0A" w:rsidRDefault="00C93DF1" w:rsidP="00BF6D0C">
            <w:pPr>
              <w:spacing w:after="0"/>
              <w:rPr>
                <w:rFonts w:ascii="Times New Roman" w:hAnsi="Times New Roman"/>
              </w:rPr>
            </w:pPr>
            <w:r>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bookmarkStart w:id="0" w:name="_GoBack"/>
      <w:bookmarkEnd w:id="0"/>
    </w:p>
    <w:p w:rsidR="005A3030" w:rsidRPr="00114B97" w:rsidRDefault="005A3030" w:rsidP="005A3030">
      <w:pPr>
        <w:pStyle w:val="ConsPlusNormal"/>
        <w:contextualSpacing/>
        <w:rPr>
          <w:rFonts w:ascii="Times New Roman" w:hAnsi="Times New Roman"/>
          <w:b/>
          <w:bCs/>
        </w:rPr>
      </w:pP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Расчет степени достижения плановых значений ожидаемых</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результатов реализации муниципальной программы</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«Жилищное строительство, развитие инфраструктуры и коммунального комплекса, обеспечение безопасности населения</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в Таврическом муниципальном районе Омской области»</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за весь период реализации с 2020 по 2020 год</w:t>
      </w:r>
    </w:p>
    <w:p w:rsidR="00FC4483" w:rsidRDefault="00FC4483" w:rsidP="00FC4483">
      <w:pPr>
        <w:pStyle w:val="ConsPlusNormal"/>
        <w:contextualSpacing/>
        <w:jc w:val="center"/>
        <w:rPr>
          <w:rFonts w:ascii="Times New Roman" w:hAnsi="Times New Roman"/>
        </w:rPr>
      </w:pPr>
    </w:p>
    <w:p w:rsidR="00FC4483" w:rsidRDefault="00FC4483" w:rsidP="005A3030">
      <w:pPr>
        <w:pStyle w:val="ConsPlusNormal"/>
        <w:contextualSpacing/>
        <w:rPr>
          <w:rFonts w:ascii="Times New Roman" w:hAnsi="Times New Roman"/>
        </w:rPr>
      </w:pPr>
    </w:p>
    <w:tbl>
      <w:tblPr>
        <w:tblW w:w="14054" w:type="dxa"/>
        <w:tblInd w:w="62" w:type="dxa"/>
        <w:tblLayout w:type="fixed"/>
        <w:tblCellMar>
          <w:top w:w="102" w:type="dxa"/>
          <w:left w:w="62" w:type="dxa"/>
          <w:bottom w:w="102" w:type="dxa"/>
          <w:right w:w="62" w:type="dxa"/>
        </w:tblCellMar>
        <w:tblLook w:val="0000" w:firstRow="0" w:lastRow="0" w:firstColumn="0" w:lastColumn="0" w:noHBand="0" w:noVBand="0"/>
      </w:tblPr>
      <w:tblGrid>
        <w:gridCol w:w="573"/>
        <w:gridCol w:w="2971"/>
        <w:gridCol w:w="1276"/>
        <w:gridCol w:w="1417"/>
        <w:gridCol w:w="1559"/>
        <w:gridCol w:w="18"/>
        <w:gridCol w:w="1173"/>
        <w:gridCol w:w="12"/>
        <w:gridCol w:w="1541"/>
        <w:gridCol w:w="10"/>
        <w:gridCol w:w="12"/>
        <w:gridCol w:w="6"/>
        <w:gridCol w:w="3464"/>
        <w:gridCol w:w="22"/>
      </w:tblGrid>
      <w:tr w:rsidR="00FC4483" w:rsidRPr="00FC4483" w:rsidTr="005A3717">
        <w:trPr>
          <w:gridAfter w:val="1"/>
          <w:wAfter w:w="22" w:type="dxa"/>
        </w:trPr>
        <w:tc>
          <w:tcPr>
            <w:tcW w:w="573" w:type="dxa"/>
            <w:vMerge w:val="restart"/>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N п/п</w:t>
            </w:r>
          </w:p>
        </w:tc>
        <w:tc>
          <w:tcPr>
            <w:tcW w:w="2971" w:type="dxa"/>
            <w:vMerge w:val="restart"/>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Наименование ожидаемого результата реализации муниципальной программы (подпрограммы)</w:t>
            </w:r>
          </w:p>
        </w:tc>
        <w:tc>
          <w:tcPr>
            <w:tcW w:w="1276" w:type="dxa"/>
            <w:vMerge w:val="restart"/>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Единица измерения</w:t>
            </w:r>
          </w:p>
        </w:tc>
        <w:tc>
          <w:tcPr>
            <w:tcW w:w="5730" w:type="dxa"/>
            <w:gridSpan w:val="7"/>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Значение ожидаемого результата реализации муниципальной программы (подпрограммы)</w:t>
            </w:r>
          </w:p>
        </w:tc>
        <w:tc>
          <w:tcPr>
            <w:tcW w:w="3482" w:type="dxa"/>
            <w:gridSpan w:val="3"/>
            <w:tcBorders>
              <w:top w:val="single" w:sz="4" w:space="0" w:color="auto"/>
              <w:left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p>
        </w:tc>
      </w:tr>
      <w:tr w:rsidR="00FC4483" w:rsidRPr="00FC4483" w:rsidTr="005A3717">
        <w:trPr>
          <w:gridAfter w:val="1"/>
          <w:wAfter w:w="22" w:type="dxa"/>
          <w:trHeight w:val="253"/>
        </w:trPr>
        <w:tc>
          <w:tcPr>
            <w:tcW w:w="573" w:type="dxa"/>
            <w:vMerge/>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2971" w:type="dxa"/>
            <w:vMerge/>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2976"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Pr>
                <w:rFonts w:ascii="Times New Roman" w:hAnsi="Times New Roman"/>
              </w:rPr>
              <w:t>Всего</w:t>
            </w:r>
          </w:p>
        </w:tc>
        <w:tc>
          <w:tcPr>
            <w:tcW w:w="2744" w:type="dxa"/>
            <w:gridSpan w:val="4"/>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Pr>
                <w:rFonts w:ascii="Times New Roman" w:hAnsi="Times New Roman"/>
              </w:rPr>
              <w:t>2020 год</w:t>
            </w:r>
          </w:p>
        </w:tc>
        <w:tc>
          <w:tcPr>
            <w:tcW w:w="3492" w:type="dxa"/>
            <w:gridSpan w:val="4"/>
            <w:tcBorders>
              <w:left w:val="single" w:sz="4" w:space="0" w:color="auto"/>
              <w:bottom w:val="nil"/>
              <w:right w:val="single" w:sz="4" w:space="0" w:color="auto"/>
            </w:tcBorders>
          </w:tcPr>
          <w:p w:rsidR="00FC4483" w:rsidRPr="00FC4483" w:rsidRDefault="00FC4483" w:rsidP="00FC4483">
            <w:pPr>
              <w:pStyle w:val="ConsPlusNormal"/>
              <w:rPr>
                <w:rFonts w:ascii="Times New Roman" w:hAnsi="Times New Roman"/>
              </w:rPr>
            </w:pPr>
          </w:p>
        </w:tc>
      </w:tr>
      <w:tr w:rsidR="00FC4483" w:rsidRPr="00FC4483" w:rsidTr="005A3717">
        <w:trPr>
          <w:gridAfter w:val="1"/>
          <w:wAfter w:w="22" w:type="dxa"/>
        </w:trPr>
        <w:tc>
          <w:tcPr>
            <w:tcW w:w="573" w:type="dxa"/>
            <w:vMerge/>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2971" w:type="dxa"/>
            <w:vMerge/>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План</w:t>
            </w:r>
          </w:p>
        </w:tc>
        <w:tc>
          <w:tcPr>
            <w:tcW w:w="1559" w:type="dxa"/>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Факт</w:t>
            </w:r>
          </w:p>
        </w:tc>
        <w:tc>
          <w:tcPr>
            <w:tcW w:w="1191" w:type="dxa"/>
            <w:gridSpan w:val="2"/>
            <w:tcBorders>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План</w:t>
            </w:r>
          </w:p>
        </w:tc>
        <w:tc>
          <w:tcPr>
            <w:tcW w:w="1563" w:type="dxa"/>
            <w:gridSpan w:val="3"/>
            <w:tcBorders>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Факт</w:t>
            </w:r>
          </w:p>
        </w:tc>
        <w:tc>
          <w:tcPr>
            <w:tcW w:w="3482" w:type="dxa"/>
            <w:gridSpan w:val="3"/>
            <w:tcBorders>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r>
      <w:tr w:rsidR="00FC4483"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vAlign w:val="bottom"/>
          </w:tcPr>
          <w:p w:rsidR="00FC4483" w:rsidRPr="00FC4483" w:rsidRDefault="00FC4483" w:rsidP="00FC4483">
            <w:pPr>
              <w:pStyle w:val="ConsPlusNormal"/>
              <w:jc w:val="center"/>
              <w:rPr>
                <w:rFonts w:ascii="Times New Roman" w:hAnsi="Times New Roman"/>
              </w:rPr>
            </w:pPr>
            <w:r w:rsidRPr="00FC4483">
              <w:rPr>
                <w:rFonts w:ascii="Times New Roman" w:hAnsi="Times New Roman"/>
              </w:rPr>
              <w:t>1</w:t>
            </w:r>
          </w:p>
        </w:tc>
        <w:tc>
          <w:tcPr>
            <w:tcW w:w="2971" w:type="dxa"/>
            <w:tcBorders>
              <w:top w:val="single" w:sz="4" w:space="0" w:color="auto"/>
              <w:left w:val="single" w:sz="4" w:space="0" w:color="auto"/>
              <w:bottom w:val="single" w:sz="4" w:space="0" w:color="auto"/>
              <w:right w:val="single" w:sz="4" w:space="0" w:color="auto"/>
            </w:tcBorders>
            <w:vAlign w:val="bottom"/>
          </w:tcPr>
          <w:p w:rsidR="00FC4483" w:rsidRPr="00FC4483" w:rsidRDefault="00FC4483" w:rsidP="00FC4483">
            <w:pPr>
              <w:pStyle w:val="ConsPlusNormal"/>
              <w:jc w:val="center"/>
              <w:rPr>
                <w:rFonts w:ascii="Times New Roman" w:hAnsi="Times New Roman"/>
              </w:rPr>
            </w:pPr>
            <w:r w:rsidRPr="00FC4483">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rsidR="00FC4483" w:rsidRPr="00FC4483" w:rsidRDefault="00FC4483" w:rsidP="00FC4483">
            <w:pPr>
              <w:pStyle w:val="ConsPlusNormal"/>
              <w:jc w:val="center"/>
              <w:rPr>
                <w:rFonts w:ascii="Times New Roman" w:hAnsi="Times New Roman"/>
              </w:rPr>
            </w:pPr>
            <w:r w:rsidRPr="00FC4483">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vAlign w:val="center"/>
          </w:tcPr>
          <w:p w:rsidR="00FC4483" w:rsidRPr="00FC4483" w:rsidRDefault="00FC4483" w:rsidP="00FC4483">
            <w:pPr>
              <w:pStyle w:val="ConsPlusNormal"/>
              <w:jc w:val="center"/>
              <w:rPr>
                <w:rFonts w:ascii="Times New Roman" w:hAnsi="Times New Roman"/>
              </w:rPr>
            </w:pPr>
            <w:r w:rsidRPr="00FC4483">
              <w:rPr>
                <w:rFonts w:ascii="Times New Roman" w:hAnsi="Times New Roman"/>
              </w:rPr>
              <w:t>4</w:t>
            </w:r>
          </w:p>
        </w:tc>
        <w:tc>
          <w:tcPr>
            <w:tcW w:w="1559" w:type="dxa"/>
            <w:tcBorders>
              <w:top w:val="single" w:sz="4" w:space="0" w:color="auto"/>
              <w:left w:val="single" w:sz="4" w:space="0" w:color="auto"/>
              <w:bottom w:val="single" w:sz="4" w:space="0" w:color="auto"/>
              <w:right w:val="single" w:sz="4" w:space="0" w:color="auto"/>
            </w:tcBorders>
            <w:vAlign w:val="center"/>
          </w:tcPr>
          <w:p w:rsidR="00FC4483" w:rsidRPr="00FC4483" w:rsidRDefault="00FC4483" w:rsidP="00FC4483">
            <w:pPr>
              <w:pStyle w:val="ConsPlusNormal"/>
              <w:jc w:val="center"/>
              <w:rPr>
                <w:rFonts w:ascii="Times New Roman" w:hAnsi="Times New Roman"/>
              </w:rPr>
            </w:pPr>
            <w:r w:rsidRPr="00FC4483">
              <w:rPr>
                <w:rFonts w:ascii="Times New Roman" w:hAnsi="Times New Roman"/>
              </w:rPr>
              <w:t>5</w:t>
            </w:r>
          </w:p>
        </w:tc>
        <w:tc>
          <w:tcPr>
            <w:tcW w:w="1191"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Pr>
                <w:rFonts w:ascii="Times New Roman" w:hAnsi="Times New Roman"/>
              </w:rPr>
              <w:t>6</w:t>
            </w:r>
          </w:p>
        </w:tc>
        <w:tc>
          <w:tcPr>
            <w:tcW w:w="1563" w:type="dxa"/>
            <w:gridSpan w:val="3"/>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Pr>
                <w:rFonts w:ascii="Times New Roman" w:hAnsi="Times New Roman"/>
              </w:rPr>
              <w:t>7</w:t>
            </w:r>
          </w:p>
        </w:tc>
        <w:tc>
          <w:tcPr>
            <w:tcW w:w="3482" w:type="dxa"/>
            <w:gridSpan w:val="3"/>
            <w:tcBorders>
              <w:top w:val="single" w:sz="4" w:space="0" w:color="auto"/>
              <w:left w:val="single" w:sz="4" w:space="0" w:color="auto"/>
              <w:bottom w:val="single" w:sz="4" w:space="0" w:color="auto"/>
              <w:right w:val="single" w:sz="4" w:space="0" w:color="auto"/>
            </w:tcBorders>
            <w:vAlign w:val="bottom"/>
          </w:tcPr>
          <w:p w:rsidR="00FC4483" w:rsidRPr="00FC4483" w:rsidRDefault="00FC4483" w:rsidP="00FC4483">
            <w:pPr>
              <w:pStyle w:val="ConsPlusNormal"/>
              <w:jc w:val="center"/>
              <w:rPr>
                <w:rFonts w:ascii="Times New Roman" w:hAnsi="Times New Roman"/>
              </w:rPr>
            </w:pPr>
            <w:r>
              <w:rPr>
                <w:rFonts w:ascii="Times New Roman" w:hAnsi="Times New Roman"/>
              </w:rPr>
              <w:t>8</w:t>
            </w:r>
          </w:p>
        </w:tc>
      </w:tr>
      <w:tr w:rsidR="00FC4483" w:rsidRPr="00FC4483" w:rsidTr="005A3717">
        <w:tc>
          <w:tcPr>
            <w:tcW w:w="14054" w:type="dxa"/>
            <w:gridSpan w:val="14"/>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 xml:space="preserve">Муниципальная программа «Жилищное строительство, развитие инфраструктуры и коммунального комплекса, обеспечение безопасности </w:t>
            </w:r>
            <w:proofErr w:type="gramStart"/>
            <w:r w:rsidRPr="00FC4483">
              <w:rPr>
                <w:rFonts w:ascii="Times New Roman" w:hAnsi="Times New Roman"/>
              </w:rPr>
              <w:t>населения  в</w:t>
            </w:r>
            <w:proofErr w:type="gramEnd"/>
            <w:r w:rsidRPr="00FC4483">
              <w:rPr>
                <w:rFonts w:ascii="Times New Roman" w:hAnsi="Times New Roman"/>
              </w:rPr>
              <w:t xml:space="preserve"> Таврическом муниципальном районе Омской области»</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1</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Годовой объем ввода жилья в эксплуатацию</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тыс. </w:t>
            </w:r>
            <w:proofErr w:type="spellStart"/>
            <w:r w:rsidRPr="00FC4483">
              <w:rPr>
                <w:rFonts w:ascii="Times New Roman" w:hAnsi="Times New Roman"/>
              </w:rPr>
              <w:t>кв.м</w:t>
            </w:r>
            <w:proofErr w:type="spellEnd"/>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5,2</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6,8</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5,2</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6,8</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1,00</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 </w:t>
            </w:r>
            <w:r>
              <w:rPr>
                <w:rFonts w:ascii="Times New Roman" w:hAnsi="Times New Roman"/>
              </w:rPr>
              <w:t>2</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Общая площадь жилых помещений, приходящаяся в среднем на одного жителя Таврического района</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proofErr w:type="spellStart"/>
            <w:proofErr w:type="gramStart"/>
            <w:r w:rsidRPr="00FC4483">
              <w:rPr>
                <w:rFonts w:ascii="Times New Roman" w:hAnsi="Times New Roman"/>
              </w:rPr>
              <w:t>кв.м</w:t>
            </w:r>
            <w:proofErr w:type="spellEnd"/>
            <w:proofErr w:type="gramEnd"/>
            <w:r w:rsidRPr="00FC4483">
              <w:rPr>
                <w:rFonts w:ascii="Times New Roman" w:hAnsi="Times New Roman"/>
              </w:rPr>
              <w:t xml:space="preserve"> на 1 чел.</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25,7</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25,51</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25,7</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25,51</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0,99</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3</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Ожидаемый результат: Получение паспорта готовности к отопительному периоду Администрацией </w:t>
            </w:r>
            <w:r w:rsidRPr="00FC4483">
              <w:rPr>
                <w:rFonts w:ascii="Times New Roman" w:hAnsi="Times New Roman"/>
              </w:rPr>
              <w:lastRenderedPageBreak/>
              <w:t>Таврического муниципального района Омской области до 15 ноября каждого отопительного периода</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lastRenderedPageBreak/>
              <w:t>ед.</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1,00</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4</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Снижение социального риска</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ед./1 тыс. населения</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0,005</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0,007</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0,005</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0,007</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0,6</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5</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тыс. человек</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126,0</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91,16</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126,0</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91,16</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0,72</w:t>
            </w:r>
          </w:p>
        </w:tc>
      </w:tr>
      <w:tr w:rsidR="00FC4483" w:rsidRPr="00FC4483" w:rsidTr="005A3717">
        <w:tc>
          <w:tcPr>
            <w:tcW w:w="7814" w:type="dxa"/>
            <w:gridSpan w:val="6"/>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 xml:space="preserve">Ожидаемые результаты реализации муниципальной программы </w:t>
            </w:r>
            <w:hyperlink w:anchor="Par279" w:history="1">
              <w:r w:rsidRPr="00FC4483">
                <w:rPr>
                  <w:rStyle w:val="a5"/>
                  <w:rFonts w:ascii="Times New Roman" w:hAnsi="Times New Roman"/>
                </w:rPr>
                <w:t>&lt;8&gt;</w:t>
              </w:r>
            </w:hyperlink>
          </w:p>
        </w:tc>
        <w:tc>
          <w:tcPr>
            <w:tcW w:w="1185"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1563" w:type="dxa"/>
            <w:gridSpan w:val="3"/>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p>
        </w:tc>
        <w:tc>
          <w:tcPr>
            <w:tcW w:w="3492" w:type="dxa"/>
            <w:gridSpan w:val="3"/>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86,2</w:t>
            </w:r>
          </w:p>
        </w:tc>
      </w:tr>
      <w:tr w:rsidR="00FC4483" w:rsidRPr="00FC4483" w:rsidTr="005A3717">
        <w:tc>
          <w:tcPr>
            <w:tcW w:w="14054" w:type="dxa"/>
            <w:gridSpan w:val="14"/>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Подпрограмма 1 «Развитие жилищного строительства на территории Таврического муниципального района»</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1</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w:t>
            </w:r>
          </w:p>
        </w:tc>
        <w:tc>
          <w:tcPr>
            <w:tcW w:w="1417" w:type="dxa"/>
          </w:tcPr>
          <w:p w:rsidR="00655674" w:rsidRPr="00FC4483" w:rsidRDefault="00655674" w:rsidP="00655674">
            <w:pPr>
              <w:pStyle w:val="ConsPlusNormal"/>
              <w:contextualSpacing/>
              <w:jc w:val="center"/>
              <w:rPr>
                <w:rFonts w:ascii="Times New Roman" w:hAnsi="Times New Roman"/>
              </w:rPr>
            </w:pPr>
            <w:r w:rsidRPr="00FC4483">
              <w:rPr>
                <w:rFonts w:ascii="Times New Roman" w:hAnsi="Times New Roman"/>
              </w:rPr>
              <w:t>2,85</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4,61</w:t>
            </w:r>
          </w:p>
        </w:tc>
        <w:tc>
          <w:tcPr>
            <w:tcW w:w="1191" w:type="dxa"/>
            <w:gridSpan w:val="2"/>
          </w:tcPr>
          <w:p w:rsidR="00655674" w:rsidRPr="00FC4483" w:rsidRDefault="00655674" w:rsidP="00655674">
            <w:pPr>
              <w:pStyle w:val="ConsPlusNormal"/>
              <w:contextualSpacing/>
              <w:jc w:val="center"/>
              <w:rPr>
                <w:rFonts w:ascii="Times New Roman" w:hAnsi="Times New Roman"/>
              </w:rPr>
            </w:pPr>
            <w:r w:rsidRPr="00FC4483">
              <w:rPr>
                <w:rFonts w:ascii="Times New Roman" w:hAnsi="Times New Roman"/>
              </w:rPr>
              <w:t>2,85</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4,61</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1,00</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2</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Ожидаемый результат: Годовой объем ввода жилья </w:t>
            </w:r>
            <w:r w:rsidRPr="00FC4483">
              <w:rPr>
                <w:rFonts w:ascii="Times New Roman" w:hAnsi="Times New Roman"/>
              </w:rPr>
              <w:lastRenderedPageBreak/>
              <w:t>экономкласса в эксплуатацию</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lastRenderedPageBreak/>
              <w:t xml:space="preserve">тыс. </w:t>
            </w:r>
            <w:proofErr w:type="spellStart"/>
            <w:r w:rsidRPr="00FC4483">
              <w:rPr>
                <w:rFonts w:ascii="Times New Roman" w:hAnsi="Times New Roman"/>
              </w:rPr>
              <w:t>кв.м</w:t>
            </w:r>
            <w:proofErr w:type="spellEnd"/>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5,2</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6,8</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5,2</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6,8</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1,00</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3</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Ожидаемый результат: </w:t>
            </w:r>
            <w:bookmarkStart w:id="1" w:name="_Hlk21449419"/>
            <w:proofErr w:type="gramStart"/>
            <w:r w:rsidRPr="00FC4483">
              <w:rPr>
                <w:rFonts w:ascii="Times New Roman" w:hAnsi="Times New Roman"/>
              </w:rPr>
              <w:t>Количество поселений Таврического муниципального района Омской области</w:t>
            </w:r>
            <w:proofErr w:type="gramEnd"/>
            <w:r w:rsidRPr="00FC4483">
              <w:rPr>
                <w:rFonts w:ascii="Times New Roman" w:hAnsi="Times New Roman"/>
              </w:rPr>
              <w:t xml:space="preserve"> в которых разработан и утвержден, согласно действующего законодательства генеральный план поселения</w:t>
            </w:r>
            <w:bookmarkEnd w:id="1"/>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Ед.</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9</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9</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0,9</w:t>
            </w:r>
          </w:p>
        </w:tc>
      </w:tr>
      <w:tr w:rsidR="00FC4483" w:rsidRPr="00FC4483" w:rsidTr="005A3717">
        <w:tc>
          <w:tcPr>
            <w:tcW w:w="10568" w:type="dxa"/>
            <w:gridSpan w:val="1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3486" w:type="dxa"/>
            <w:gridSpan w:val="2"/>
            <w:tcBorders>
              <w:top w:val="single" w:sz="4" w:space="0" w:color="auto"/>
              <w:left w:val="single" w:sz="4" w:space="0" w:color="auto"/>
              <w:bottom w:val="single" w:sz="4" w:space="0" w:color="auto"/>
              <w:right w:val="single" w:sz="4" w:space="0" w:color="auto"/>
            </w:tcBorders>
          </w:tcPr>
          <w:p w:rsidR="00FC4483" w:rsidRPr="00FC4483" w:rsidRDefault="00347859" w:rsidP="00FC4483">
            <w:pPr>
              <w:pStyle w:val="ConsPlusNormal"/>
              <w:jc w:val="center"/>
              <w:rPr>
                <w:rFonts w:ascii="Times New Roman" w:hAnsi="Times New Roman"/>
              </w:rPr>
            </w:pPr>
            <w:r>
              <w:rPr>
                <w:rFonts w:ascii="Times New Roman" w:hAnsi="Times New Roman"/>
              </w:rPr>
              <w:t>96,0</w:t>
            </w:r>
          </w:p>
        </w:tc>
      </w:tr>
      <w:tr w:rsidR="00FC4483" w:rsidRPr="00FC4483" w:rsidTr="005A3717">
        <w:tc>
          <w:tcPr>
            <w:tcW w:w="14054" w:type="dxa"/>
            <w:gridSpan w:val="14"/>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Подпрограмма 2 «Развитие систем коммунальной инфраструктуры на территории Таврического муниципального района»</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1</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Ожидаемый результат: </w:t>
            </w:r>
            <w:bookmarkStart w:id="2" w:name="_Hlk21504288"/>
            <w:r w:rsidRPr="00FC4483">
              <w:rPr>
                <w:rFonts w:ascii="Times New Roman" w:hAnsi="Times New Roman"/>
              </w:rPr>
              <w:t xml:space="preserve">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w:t>
            </w:r>
            <w:proofErr w:type="gramStart"/>
            <w:r w:rsidRPr="00FC4483">
              <w:rPr>
                <w:rFonts w:ascii="Times New Roman" w:hAnsi="Times New Roman"/>
              </w:rPr>
              <w:t>программу  ФКР</w:t>
            </w:r>
            <w:proofErr w:type="gramEnd"/>
            <w:r w:rsidRPr="00FC4483">
              <w:rPr>
                <w:rFonts w:ascii="Times New Roman" w:hAnsi="Times New Roman"/>
              </w:rPr>
              <w:t xml:space="preserve"> МКД</w:t>
            </w:r>
            <w:bookmarkEnd w:id="2"/>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14,8</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1,5</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14,8</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1,5</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0,10</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2</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водопроводом</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66,8</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72,7</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66,8</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72,7</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3</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системами водоотведения</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59,4</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61,6</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59,4</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61,6</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lastRenderedPageBreak/>
              <w:t>4</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отоплением</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85,7</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86,3</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85,7</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86,3</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5</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bookmarkStart w:id="3" w:name="_Hlk21532046"/>
            <w:r w:rsidRPr="00FC4483">
              <w:rPr>
                <w:rFonts w:ascii="Times New Roman" w:hAnsi="Times New Roman"/>
              </w:rPr>
              <w:t xml:space="preserve">Ожидаемый результат: Количество </w:t>
            </w:r>
            <w:proofErr w:type="gramStart"/>
            <w:r w:rsidRPr="00FC4483">
              <w:rPr>
                <w:rFonts w:ascii="Times New Roman" w:hAnsi="Times New Roman"/>
              </w:rPr>
              <w:t>котельных,  обеспеченных</w:t>
            </w:r>
            <w:proofErr w:type="gramEnd"/>
            <w:r w:rsidRPr="00FC4483">
              <w:rPr>
                <w:rFonts w:ascii="Times New Roman" w:hAnsi="Times New Roman"/>
              </w:rPr>
              <w:t xml:space="preserve"> бесперебойными источниками электроснабжения</w:t>
            </w:r>
            <w:bookmarkEnd w:id="3"/>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proofErr w:type="spellStart"/>
            <w:r w:rsidRPr="00FC4483">
              <w:rPr>
                <w:rFonts w:ascii="Times New Roman" w:hAnsi="Times New Roman"/>
              </w:rPr>
              <w:t>ед</w:t>
            </w:r>
            <w:proofErr w:type="spellEnd"/>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21</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21</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21</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21</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r>
      <w:tr w:rsidR="00FC4483" w:rsidRPr="00FC4483" w:rsidTr="005A3717">
        <w:tc>
          <w:tcPr>
            <w:tcW w:w="10568" w:type="dxa"/>
            <w:gridSpan w:val="1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3486"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82,0</w:t>
            </w:r>
          </w:p>
        </w:tc>
      </w:tr>
      <w:tr w:rsidR="00FC4483" w:rsidRPr="00FC4483" w:rsidTr="005A3717">
        <w:tc>
          <w:tcPr>
            <w:tcW w:w="14054" w:type="dxa"/>
            <w:gridSpan w:val="14"/>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Подпрограмма 3 «Модернизация и развитие автомобильных дорог»</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1</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55,8</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52,92</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55,8</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52,92</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w:t>
            </w:r>
          </w:p>
        </w:tc>
      </w:tr>
      <w:tr w:rsidR="00FC4483" w:rsidRPr="00FC4483" w:rsidTr="005A3717">
        <w:tc>
          <w:tcPr>
            <w:tcW w:w="10568" w:type="dxa"/>
            <w:gridSpan w:val="1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3486"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100</w:t>
            </w:r>
          </w:p>
        </w:tc>
      </w:tr>
      <w:tr w:rsidR="00FC4483" w:rsidRPr="00FC4483" w:rsidTr="005A3717">
        <w:tc>
          <w:tcPr>
            <w:tcW w:w="14054" w:type="dxa"/>
            <w:gridSpan w:val="14"/>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 xml:space="preserve">Подпрограмма </w:t>
            </w:r>
            <w:r w:rsidR="00DC6CC1">
              <w:rPr>
                <w:rFonts w:ascii="Times New Roman" w:hAnsi="Times New Roman"/>
              </w:rPr>
              <w:t>4</w:t>
            </w:r>
            <w:r w:rsidRPr="00FC4483">
              <w:rPr>
                <w:rFonts w:ascii="Times New Roman" w:hAnsi="Times New Roman"/>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655674" w:rsidRPr="00FC4483" w:rsidTr="005A3717">
        <w:trPr>
          <w:gridAfter w:val="1"/>
          <w:wAfter w:w="22" w:type="dxa"/>
        </w:trPr>
        <w:tc>
          <w:tcPr>
            <w:tcW w:w="573"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Pr>
                <w:rFonts w:ascii="Times New Roman" w:hAnsi="Times New Roman"/>
              </w:rPr>
              <w:t>1</w:t>
            </w:r>
          </w:p>
        </w:tc>
        <w:tc>
          <w:tcPr>
            <w:tcW w:w="2971"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t xml:space="preserve">Ожидаемый результат: Доля населения, проживающего в населенных пунктах, не имеющих регулярного автобусного и (или) </w:t>
            </w:r>
            <w:r w:rsidRPr="00FC4483">
              <w:rPr>
                <w:rFonts w:ascii="Times New Roman" w:hAnsi="Times New Roman"/>
              </w:rPr>
              <w:lastRenderedPageBreak/>
              <w:t xml:space="preserve">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276"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rPr>
                <w:rFonts w:ascii="Times New Roman" w:hAnsi="Times New Roman"/>
              </w:rPr>
            </w:pPr>
            <w:r w:rsidRPr="00FC4483">
              <w:rPr>
                <w:rFonts w:ascii="Times New Roman" w:hAnsi="Times New Roman"/>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w:t>
            </w:r>
          </w:p>
        </w:tc>
        <w:tc>
          <w:tcPr>
            <w:tcW w:w="1559" w:type="dxa"/>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w:t>
            </w:r>
          </w:p>
        </w:tc>
        <w:tc>
          <w:tcPr>
            <w:tcW w:w="1191" w:type="dxa"/>
            <w:gridSpan w:val="2"/>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w:t>
            </w:r>
          </w:p>
        </w:tc>
        <w:tc>
          <w:tcPr>
            <w:tcW w:w="1563"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0</w:t>
            </w:r>
          </w:p>
        </w:tc>
        <w:tc>
          <w:tcPr>
            <w:tcW w:w="3482" w:type="dxa"/>
            <w:gridSpan w:val="3"/>
            <w:tcBorders>
              <w:top w:val="single" w:sz="4" w:space="0" w:color="auto"/>
              <w:left w:val="single" w:sz="4" w:space="0" w:color="auto"/>
              <w:bottom w:val="single" w:sz="4" w:space="0" w:color="auto"/>
              <w:right w:val="single" w:sz="4" w:space="0" w:color="auto"/>
            </w:tcBorders>
          </w:tcPr>
          <w:p w:rsidR="00655674" w:rsidRPr="00FC4483" w:rsidRDefault="00655674" w:rsidP="00655674">
            <w:pPr>
              <w:pStyle w:val="ConsPlusNormal"/>
              <w:jc w:val="center"/>
              <w:rPr>
                <w:rFonts w:ascii="Times New Roman" w:hAnsi="Times New Roman"/>
              </w:rPr>
            </w:pPr>
            <w:r w:rsidRPr="00FC4483">
              <w:rPr>
                <w:rFonts w:ascii="Times New Roman" w:hAnsi="Times New Roman"/>
              </w:rPr>
              <w:t>1,00</w:t>
            </w:r>
          </w:p>
        </w:tc>
      </w:tr>
      <w:tr w:rsidR="00FC4483" w:rsidRPr="00FC4483" w:rsidTr="005A3717">
        <w:tc>
          <w:tcPr>
            <w:tcW w:w="10568" w:type="dxa"/>
            <w:gridSpan w:val="1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3486"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100</w:t>
            </w:r>
          </w:p>
        </w:tc>
      </w:tr>
      <w:tr w:rsidR="00FC4483" w:rsidRPr="00FC4483" w:rsidTr="005A3717">
        <w:tc>
          <w:tcPr>
            <w:tcW w:w="10568" w:type="dxa"/>
            <w:gridSpan w:val="1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FC4483">
                <w:rPr>
                  <w:rStyle w:val="a5"/>
                  <w:rFonts w:ascii="Times New Roman" w:hAnsi="Times New Roman"/>
                </w:rPr>
                <w:t>&lt;9&gt;</w:t>
              </w:r>
            </w:hyperlink>
          </w:p>
        </w:tc>
        <w:tc>
          <w:tcPr>
            <w:tcW w:w="3486" w:type="dxa"/>
            <w:gridSpan w:val="2"/>
            <w:tcBorders>
              <w:top w:val="single" w:sz="4" w:space="0" w:color="auto"/>
              <w:left w:val="single" w:sz="4" w:space="0" w:color="auto"/>
              <w:bottom w:val="single" w:sz="4" w:space="0" w:color="auto"/>
              <w:right w:val="single" w:sz="4" w:space="0" w:color="auto"/>
            </w:tcBorders>
          </w:tcPr>
          <w:p w:rsidR="00FC4483" w:rsidRPr="00FC4483" w:rsidRDefault="00347859" w:rsidP="00FC4483">
            <w:pPr>
              <w:pStyle w:val="ConsPlusNormal"/>
              <w:jc w:val="center"/>
              <w:rPr>
                <w:rFonts w:ascii="Times New Roman" w:hAnsi="Times New Roman"/>
              </w:rPr>
            </w:pPr>
            <w:r>
              <w:rPr>
                <w:rFonts w:ascii="Times New Roman" w:hAnsi="Times New Roman"/>
              </w:rPr>
              <w:t>94,5</w:t>
            </w:r>
          </w:p>
        </w:tc>
      </w:tr>
      <w:tr w:rsidR="00FC4483" w:rsidRPr="00FC4483" w:rsidTr="005A3717">
        <w:tc>
          <w:tcPr>
            <w:tcW w:w="10568" w:type="dxa"/>
            <w:gridSpan w:val="1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rPr>
                <w:rFonts w:ascii="Times New Roman" w:hAnsi="Times New Roman"/>
              </w:rPr>
            </w:pPr>
            <w:r w:rsidRPr="00FC4483">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FC4483">
                <w:rPr>
                  <w:rStyle w:val="a5"/>
                  <w:rFonts w:ascii="Times New Roman" w:hAnsi="Times New Roman"/>
                </w:rPr>
                <w:t>&lt;10&gt;</w:t>
              </w:r>
            </w:hyperlink>
          </w:p>
        </w:tc>
        <w:tc>
          <w:tcPr>
            <w:tcW w:w="3486" w:type="dxa"/>
            <w:gridSpan w:val="2"/>
            <w:tcBorders>
              <w:top w:val="single" w:sz="4" w:space="0" w:color="auto"/>
              <w:left w:val="single" w:sz="4" w:space="0" w:color="auto"/>
              <w:bottom w:val="single" w:sz="4" w:space="0" w:color="auto"/>
              <w:right w:val="single" w:sz="4" w:space="0" w:color="auto"/>
            </w:tcBorders>
          </w:tcPr>
          <w:p w:rsidR="00FC4483" w:rsidRPr="00FC4483" w:rsidRDefault="00FC4483" w:rsidP="00FC4483">
            <w:pPr>
              <w:pStyle w:val="ConsPlusNormal"/>
              <w:jc w:val="center"/>
              <w:rPr>
                <w:rFonts w:ascii="Times New Roman" w:hAnsi="Times New Roman"/>
              </w:rPr>
            </w:pPr>
            <w:r w:rsidRPr="00FC4483">
              <w:rPr>
                <w:rFonts w:ascii="Times New Roman" w:hAnsi="Times New Roman"/>
              </w:rPr>
              <w:t>(86,2*0,</w:t>
            </w:r>
            <w:proofErr w:type="gramStart"/>
            <w:r w:rsidRPr="00FC4483">
              <w:rPr>
                <w:rFonts w:ascii="Times New Roman" w:hAnsi="Times New Roman"/>
              </w:rPr>
              <w:t>6)+(</w:t>
            </w:r>
            <w:proofErr w:type="gramEnd"/>
            <w:r w:rsidR="00347859">
              <w:rPr>
                <w:rFonts w:ascii="Times New Roman" w:hAnsi="Times New Roman"/>
              </w:rPr>
              <w:t>94,5</w:t>
            </w:r>
            <w:r w:rsidRPr="00FC4483">
              <w:rPr>
                <w:rFonts w:ascii="Times New Roman" w:hAnsi="Times New Roman"/>
              </w:rPr>
              <w:t>*0,4)=</w:t>
            </w:r>
          </w:p>
          <w:p w:rsidR="00FC4483" w:rsidRPr="00FC4483" w:rsidRDefault="00347859" w:rsidP="00FC4483">
            <w:pPr>
              <w:pStyle w:val="ConsPlusNormal"/>
              <w:jc w:val="center"/>
              <w:rPr>
                <w:rFonts w:ascii="Times New Roman" w:hAnsi="Times New Roman"/>
                <w:b/>
              </w:rPr>
            </w:pPr>
            <w:r>
              <w:rPr>
                <w:rFonts w:ascii="Times New Roman" w:hAnsi="Times New Roman"/>
                <w:b/>
              </w:rPr>
              <w:t>89,52</w:t>
            </w:r>
          </w:p>
        </w:tc>
      </w:tr>
    </w:tbl>
    <w:p w:rsidR="00FC4483" w:rsidRDefault="00FC4483" w:rsidP="005A3030">
      <w:pPr>
        <w:pStyle w:val="ConsPlusNormal"/>
        <w:contextualSpacing/>
        <w:rPr>
          <w:rFonts w:ascii="Times New Roman" w:hAnsi="Times New Roman"/>
        </w:rPr>
      </w:pPr>
    </w:p>
    <w:p w:rsidR="00FC4483" w:rsidRPr="005A3030" w:rsidRDefault="00FC4483"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5A3030" w:rsidRDefault="005A3030" w:rsidP="005A3030">
      <w:pPr>
        <w:pStyle w:val="ConsPlusNormal"/>
        <w:contextualSpacing/>
        <w:rPr>
          <w:rFonts w:ascii="Times New Roman" w:hAnsi="Times New Roman"/>
        </w:rPr>
      </w:pPr>
      <w:bookmarkStart w:id="4" w:name="Par269"/>
      <w:bookmarkEnd w:id="4"/>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5A3030">
      <w:pPr>
        <w:pStyle w:val="ConsPlusNormal"/>
        <w:contextualSpacing/>
        <w:rPr>
          <w:rFonts w:ascii="Times New Roman" w:hAnsi="Times New Roman"/>
        </w:rPr>
      </w:pPr>
      <w:bookmarkStart w:id="5" w:name="Par270"/>
      <w:bookmarkEnd w:id="5"/>
      <w:r w:rsidRPr="005A3030">
        <w:rPr>
          <w:rFonts w:ascii="Times New Roman" w:hAnsi="Times New Roman"/>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5A3030">
      <w:pPr>
        <w:pStyle w:val="ConsPlusNormal"/>
        <w:contextualSpacing/>
        <w:rPr>
          <w:rFonts w:ascii="Times New Roman" w:hAnsi="Times New Roman"/>
        </w:rPr>
      </w:pPr>
      <w:bookmarkStart w:id="6" w:name="Par271"/>
      <w:bookmarkEnd w:id="6"/>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5A3030">
      <w:pPr>
        <w:pStyle w:val="ConsPlusNormal"/>
        <w:contextualSpacing/>
        <w:rPr>
          <w:rFonts w:ascii="Times New Roman" w:hAnsi="Times New Roman"/>
        </w:rPr>
      </w:pPr>
      <w:bookmarkStart w:id="7" w:name="Par273"/>
      <w:bookmarkEnd w:id="7"/>
      <w:r w:rsidRPr="005A3030">
        <w:rPr>
          <w:rFonts w:ascii="Times New Roman" w:hAnsi="Times New Roman"/>
        </w:rPr>
        <w:t>&lt;5&gt; - эффективность реализации:</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5A3030">
      <w:pPr>
        <w:pStyle w:val="ConsPlusNormal"/>
        <w:contextualSpacing/>
        <w:rPr>
          <w:rFonts w:ascii="Times New Roman" w:hAnsi="Times New Roman"/>
        </w:rPr>
      </w:pPr>
      <w:bookmarkStart w:id="8" w:name="Par277"/>
      <w:bookmarkEnd w:id="8"/>
      <w:r w:rsidRPr="005A3030">
        <w:rPr>
          <w:rFonts w:ascii="Times New Roman" w:hAnsi="Times New Roman"/>
        </w:rPr>
        <w:lastRenderedPageBreak/>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5A3030">
      <w:pPr>
        <w:pStyle w:val="ConsPlusNormal"/>
        <w:contextualSpacing/>
        <w:rPr>
          <w:rFonts w:ascii="Times New Roman" w:hAnsi="Times New Roman"/>
        </w:rPr>
      </w:pPr>
      <w:bookmarkStart w:id="9" w:name="Par278"/>
      <w:bookmarkEnd w:id="9"/>
      <w:r w:rsidRPr="005A3030">
        <w:rPr>
          <w:rFonts w:ascii="Times New Roman" w:hAnsi="Times New Roman"/>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5A3030">
      <w:pPr>
        <w:pStyle w:val="ConsPlusNormal"/>
        <w:contextualSpacing/>
        <w:rPr>
          <w:rFonts w:ascii="Times New Roman" w:hAnsi="Times New Roman"/>
        </w:rPr>
      </w:pPr>
      <w:bookmarkStart w:id="10" w:name="Par279"/>
      <w:bookmarkEnd w:id="10"/>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1" w:name="Par280"/>
      <w:bookmarkEnd w:id="11"/>
      <w:r w:rsidRPr="005A3030">
        <w:rPr>
          <w:rFonts w:ascii="Times New Roman" w:hAnsi="Times New Roman"/>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2" w:name="Par281"/>
      <w:bookmarkEnd w:id="12"/>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43EE"/>
    <w:rsid w:val="0009260F"/>
    <w:rsid w:val="000948EE"/>
    <w:rsid w:val="000974AA"/>
    <w:rsid w:val="000A4D40"/>
    <w:rsid w:val="000B41C0"/>
    <w:rsid w:val="000D3A3A"/>
    <w:rsid w:val="000D45F5"/>
    <w:rsid w:val="000E26BE"/>
    <w:rsid w:val="000E2AED"/>
    <w:rsid w:val="000F059C"/>
    <w:rsid w:val="001139A4"/>
    <w:rsid w:val="00114B97"/>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405E9"/>
    <w:rsid w:val="00347859"/>
    <w:rsid w:val="00356A4C"/>
    <w:rsid w:val="00365946"/>
    <w:rsid w:val="00373424"/>
    <w:rsid w:val="003837FF"/>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F93"/>
    <w:rsid w:val="00507274"/>
    <w:rsid w:val="00526A5A"/>
    <w:rsid w:val="00547E7F"/>
    <w:rsid w:val="00571003"/>
    <w:rsid w:val="00575861"/>
    <w:rsid w:val="0058159F"/>
    <w:rsid w:val="005856D3"/>
    <w:rsid w:val="005927B6"/>
    <w:rsid w:val="005929AA"/>
    <w:rsid w:val="005955DB"/>
    <w:rsid w:val="00596325"/>
    <w:rsid w:val="005A00B2"/>
    <w:rsid w:val="005A3030"/>
    <w:rsid w:val="005A3717"/>
    <w:rsid w:val="005B20E7"/>
    <w:rsid w:val="005B227E"/>
    <w:rsid w:val="005C5FE0"/>
    <w:rsid w:val="005C7AC1"/>
    <w:rsid w:val="005E5671"/>
    <w:rsid w:val="005F6785"/>
    <w:rsid w:val="0062686F"/>
    <w:rsid w:val="00655674"/>
    <w:rsid w:val="00680989"/>
    <w:rsid w:val="00682980"/>
    <w:rsid w:val="006B0387"/>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52E6C"/>
    <w:rsid w:val="00756CF3"/>
    <w:rsid w:val="007579F8"/>
    <w:rsid w:val="007651A4"/>
    <w:rsid w:val="00770013"/>
    <w:rsid w:val="00770202"/>
    <w:rsid w:val="00787CC3"/>
    <w:rsid w:val="00793B4B"/>
    <w:rsid w:val="00797800"/>
    <w:rsid w:val="007C0733"/>
    <w:rsid w:val="007D71A2"/>
    <w:rsid w:val="007E3148"/>
    <w:rsid w:val="007F0415"/>
    <w:rsid w:val="00810B65"/>
    <w:rsid w:val="0081107B"/>
    <w:rsid w:val="0081265C"/>
    <w:rsid w:val="00824C72"/>
    <w:rsid w:val="00830BA7"/>
    <w:rsid w:val="00864410"/>
    <w:rsid w:val="00872C03"/>
    <w:rsid w:val="008817A6"/>
    <w:rsid w:val="00882DE1"/>
    <w:rsid w:val="008A0A1C"/>
    <w:rsid w:val="008C2962"/>
    <w:rsid w:val="008C3E14"/>
    <w:rsid w:val="008C6DD7"/>
    <w:rsid w:val="008C7BAE"/>
    <w:rsid w:val="008F7BA2"/>
    <w:rsid w:val="00924B61"/>
    <w:rsid w:val="00926450"/>
    <w:rsid w:val="00930E99"/>
    <w:rsid w:val="00950AFC"/>
    <w:rsid w:val="0095697A"/>
    <w:rsid w:val="0096603B"/>
    <w:rsid w:val="00980AE4"/>
    <w:rsid w:val="00982183"/>
    <w:rsid w:val="009844BB"/>
    <w:rsid w:val="00990A15"/>
    <w:rsid w:val="009938A1"/>
    <w:rsid w:val="009A2123"/>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D4978"/>
    <w:rsid w:val="00AD5A12"/>
    <w:rsid w:val="00AF2BC4"/>
    <w:rsid w:val="00B02F2C"/>
    <w:rsid w:val="00B151B1"/>
    <w:rsid w:val="00B3043A"/>
    <w:rsid w:val="00B35619"/>
    <w:rsid w:val="00B460DD"/>
    <w:rsid w:val="00B56EEC"/>
    <w:rsid w:val="00B60230"/>
    <w:rsid w:val="00B61C0B"/>
    <w:rsid w:val="00B743B1"/>
    <w:rsid w:val="00B7580C"/>
    <w:rsid w:val="00B92D19"/>
    <w:rsid w:val="00BC2C89"/>
    <w:rsid w:val="00BD0DC2"/>
    <w:rsid w:val="00BD5913"/>
    <w:rsid w:val="00BE2D9C"/>
    <w:rsid w:val="00BE4ED7"/>
    <w:rsid w:val="00BF342D"/>
    <w:rsid w:val="00BF37D4"/>
    <w:rsid w:val="00BF6D0C"/>
    <w:rsid w:val="00C079F8"/>
    <w:rsid w:val="00C2532C"/>
    <w:rsid w:val="00C84A4F"/>
    <w:rsid w:val="00C93DF1"/>
    <w:rsid w:val="00CB0D07"/>
    <w:rsid w:val="00CE6A7E"/>
    <w:rsid w:val="00CE7993"/>
    <w:rsid w:val="00CF493C"/>
    <w:rsid w:val="00CF4C32"/>
    <w:rsid w:val="00CF534D"/>
    <w:rsid w:val="00D0548D"/>
    <w:rsid w:val="00D255EC"/>
    <w:rsid w:val="00D2628A"/>
    <w:rsid w:val="00D54433"/>
    <w:rsid w:val="00D5542F"/>
    <w:rsid w:val="00D6702A"/>
    <w:rsid w:val="00D87C7B"/>
    <w:rsid w:val="00DA41F4"/>
    <w:rsid w:val="00DA68EF"/>
    <w:rsid w:val="00DC6CC1"/>
    <w:rsid w:val="00DE061F"/>
    <w:rsid w:val="00DE2782"/>
    <w:rsid w:val="00E1423C"/>
    <w:rsid w:val="00E15491"/>
    <w:rsid w:val="00E2342D"/>
    <w:rsid w:val="00E30A49"/>
    <w:rsid w:val="00E32554"/>
    <w:rsid w:val="00E35171"/>
    <w:rsid w:val="00E42A82"/>
    <w:rsid w:val="00E4658C"/>
    <w:rsid w:val="00E54CBB"/>
    <w:rsid w:val="00E66820"/>
    <w:rsid w:val="00E83510"/>
    <w:rsid w:val="00E929B7"/>
    <w:rsid w:val="00E97752"/>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4483"/>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98D34"/>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A8F3B-84E7-46A6-96A9-545D9B144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2295</TotalTime>
  <Pages>1</Pages>
  <Words>1262</Words>
  <Characters>7194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8440</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132</cp:revision>
  <cp:lastPrinted>2021-05-24T09:35:00Z</cp:lastPrinted>
  <dcterms:created xsi:type="dcterms:W3CDTF">2017-05-10T05:48:00Z</dcterms:created>
  <dcterms:modified xsi:type="dcterms:W3CDTF">2021-05-24T09:37:00Z</dcterms:modified>
</cp:coreProperties>
</file>