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2C0F42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23.05.2022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A93E1B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7"/>
        <w:gridCol w:w="2433"/>
        <w:gridCol w:w="1202"/>
        <w:gridCol w:w="1324"/>
        <w:gridCol w:w="1228"/>
        <w:gridCol w:w="1457"/>
        <w:gridCol w:w="1474"/>
        <w:gridCol w:w="1474"/>
        <w:gridCol w:w="1474"/>
        <w:gridCol w:w="2133"/>
      </w:tblGrid>
      <w:tr w:rsidR="00A50FD2" w:rsidTr="007B73D3">
        <w:tc>
          <w:tcPr>
            <w:tcW w:w="587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п/п</w:t>
            </w:r>
          </w:p>
        </w:tc>
        <w:tc>
          <w:tcPr>
            <w:tcW w:w="2433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202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431" w:type="dxa"/>
            <w:gridSpan w:val="6"/>
          </w:tcPr>
          <w:p w:rsidR="00A50FD2" w:rsidRPr="00CF12D7" w:rsidRDefault="00A50FD2" w:rsidP="00CF12D7">
            <w:pPr>
              <w:pStyle w:val="ConsPlusNormal"/>
              <w:rPr>
                <w:rFonts w:ascii="Times New Roman" w:hAnsi="Times New Roman"/>
              </w:rPr>
            </w:pPr>
            <w:proofErr w:type="gramStart"/>
            <w:r w:rsidRPr="00CF12D7">
              <w:rPr>
                <w:rFonts w:ascii="Times New Roman" w:hAnsi="Times New Roman"/>
              </w:rPr>
              <w:t>Годы  реализации</w:t>
            </w:r>
            <w:proofErr w:type="gramEnd"/>
            <w:r w:rsidRPr="00CF12D7">
              <w:rPr>
                <w:rFonts w:ascii="Times New Roman" w:hAnsi="Times New Roman"/>
              </w:rPr>
              <w:t xml:space="preserve"> муниципальной программы (подпрограммы)</w:t>
            </w:r>
          </w:p>
          <w:p w:rsidR="00A50FD2" w:rsidRPr="00CF12D7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3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Причины недостижения ожидаемого результата муниципальной программы (подпрограммы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A50FD2" w:rsidTr="00B15E22">
        <w:tc>
          <w:tcPr>
            <w:tcW w:w="587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3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gridSpan w:val="3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4422" w:type="dxa"/>
            <w:gridSpan w:val="3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33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50FD2" w:rsidTr="00A93E1B">
        <w:tc>
          <w:tcPr>
            <w:tcW w:w="587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3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228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57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133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28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7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33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50FD2" w:rsidTr="004A4A05">
        <w:tc>
          <w:tcPr>
            <w:tcW w:w="14786" w:type="dxa"/>
            <w:gridSpan w:val="10"/>
          </w:tcPr>
          <w:p w:rsidR="00A50FD2" w:rsidRDefault="00A50FD2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Муниципальная программа «Жилищное строительство, развитие инфраструктуры и коммунального комплекса, обеспечение безопасности </w:t>
            </w:r>
            <w:proofErr w:type="gramStart"/>
            <w:r w:rsidRPr="00CF12D7">
              <w:rPr>
                <w:rFonts w:ascii="Times New Roman" w:hAnsi="Times New Roman"/>
              </w:rPr>
              <w:t>населения  в</w:t>
            </w:r>
            <w:proofErr w:type="gramEnd"/>
            <w:r w:rsidRPr="00CF12D7">
              <w:rPr>
                <w:rFonts w:ascii="Times New Roman" w:hAnsi="Times New Roman"/>
              </w:rPr>
              <w:t xml:space="preserve"> Таврическом муниципальном районе Омской области»</w:t>
            </w:r>
          </w:p>
        </w:tc>
      </w:tr>
      <w:tr w:rsidR="00A93E1B" w:rsidTr="00A93E1B">
        <w:tc>
          <w:tcPr>
            <w:tcW w:w="58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</w:tcPr>
          <w:p w:rsidR="00A93E1B" w:rsidRDefault="00A93E1B" w:rsidP="00CF12D7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457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2133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33" w:type="dxa"/>
          </w:tcPr>
          <w:p w:rsidR="00A93E1B" w:rsidRDefault="00A93E1B" w:rsidP="00CF12D7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>Ожидаемый результат: Общая площадь жилых помещений, приходящаяся в среднем на одного жителя Таврического района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proofErr w:type="gram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1457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1474" w:type="dxa"/>
          </w:tcPr>
          <w:p w:rsidR="00A93E1B" w:rsidRDefault="00BD5B13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1474" w:type="dxa"/>
          </w:tcPr>
          <w:p w:rsidR="00A93E1B" w:rsidRDefault="00BD5B13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1474" w:type="dxa"/>
          </w:tcPr>
          <w:p w:rsidR="00A93E1B" w:rsidRDefault="00BD5B13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33" w:type="dxa"/>
          </w:tcPr>
          <w:p w:rsidR="00A93E1B" w:rsidRDefault="00A93E1B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Получение паспорта готовности к отопительному периоду Администрацией Таврического </w:t>
            </w:r>
            <w:r w:rsidRPr="00FC4483">
              <w:rPr>
                <w:rFonts w:ascii="Times New Roman" w:hAnsi="Times New Roman"/>
              </w:rPr>
              <w:lastRenderedPageBreak/>
              <w:t>муниципального района Омской области до 15 ноября каждого отопительного периода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1457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33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1457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</w:t>
            </w:r>
          </w:p>
        </w:tc>
        <w:tc>
          <w:tcPr>
            <w:tcW w:w="1474" w:type="dxa"/>
          </w:tcPr>
          <w:p w:rsidR="00A93E1B" w:rsidRDefault="00BD5B1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+0,002</w:t>
            </w:r>
          </w:p>
        </w:tc>
        <w:tc>
          <w:tcPr>
            <w:tcW w:w="2133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CF12D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126,0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91,16</w:t>
            </w:r>
          </w:p>
        </w:tc>
        <w:tc>
          <w:tcPr>
            <w:tcW w:w="1457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-34,84</w:t>
            </w:r>
          </w:p>
        </w:tc>
        <w:tc>
          <w:tcPr>
            <w:tcW w:w="1474" w:type="dxa"/>
          </w:tcPr>
          <w:p w:rsidR="00A93E1B" w:rsidRDefault="00FF2B7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</w:tc>
        <w:tc>
          <w:tcPr>
            <w:tcW w:w="1474" w:type="dxa"/>
          </w:tcPr>
          <w:p w:rsidR="00A93E1B" w:rsidRDefault="00FF2B7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1474" w:type="dxa"/>
          </w:tcPr>
          <w:p w:rsidR="00A93E1B" w:rsidRDefault="00FF2B7A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-74,7</w:t>
            </w:r>
          </w:p>
        </w:tc>
        <w:tc>
          <w:tcPr>
            <w:tcW w:w="2133" w:type="dxa"/>
          </w:tcPr>
          <w:p w:rsidR="00A93E1B" w:rsidRPr="005656FE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 пассажиропотока </w:t>
            </w:r>
            <w:r w:rsidR="00FF2B7A" w:rsidRPr="005656FE">
              <w:rPr>
                <w:rFonts w:ascii="Times New Roman" w:hAnsi="Times New Roman"/>
                <w:sz w:val="16"/>
                <w:szCs w:val="16"/>
              </w:rPr>
              <w:t xml:space="preserve">в 2020,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202</w:t>
            </w:r>
            <w:r w:rsidR="00FF2B7A" w:rsidRPr="005656FE">
              <w:rPr>
                <w:rFonts w:ascii="Times New Roman" w:hAnsi="Times New Roman"/>
                <w:sz w:val="16"/>
                <w:szCs w:val="16"/>
              </w:rPr>
              <w:t>1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r w:rsidR="00597F89" w:rsidRPr="005656FE">
              <w:rPr>
                <w:rFonts w:ascii="Times New Roman" w:hAnsi="Times New Roman"/>
                <w:sz w:val="16"/>
                <w:szCs w:val="16"/>
              </w:rPr>
              <w:t>г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:rsidR="004F669B" w:rsidRPr="004F669B" w:rsidRDefault="004F669B" w:rsidP="004F669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69B">
              <w:rPr>
                <w:rFonts w:ascii="Times New Roman" w:hAnsi="Times New Roman"/>
                <w:sz w:val="16"/>
                <w:szCs w:val="16"/>
              </w:rPr>
              <w:t>В целях создания условий для предоставления транспортных услуг населению и организации транспортного обслуживания был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и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установлен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ы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15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муниципальны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ов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пассажирских перевозок по регулируемым  тарифам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В результате проведенной оптимизации маршрутной сети </w:t>
            </w:r>
            <w:r w:rsidR="005656FE">
              <w:rPr>
                <w:rFonts w:ascii="Times New Roman" w:hAnsi="Times New Roman"/>
                <w:sz w:val="16"/>
                <w:szCs w:val="16"/>
              </w:rPr>
              <w:t xml:space="preserve">в 2021 году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(увеличения количества межмуниципальных маршрутов) </w:t>
            </w:r>
            <w:r w:rsidR="005656FE">
              <w:rPr>
                <w:rFonts w:ascii="Times New Roman" w:hAnsi="Times New Roman"/>
                <w:sz w:val="16"/>
                <w:szCs w:val="16"/>
              </w:rPr>
              <w:t xml:space="preserve">были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выданы  карты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маршрутов и свидетельства об осуществлении</w:t>
            </w:r>
            <w:r w:rsidR="00760360">
              <w:rPr>
                <w:rFonts w:ascii="Times New Roman" w:hAnsi="Times New Roman"/>
                <w:sz w:val="16"/>
                <w:szCs w:val="16"/>
              </w:rPr>
              <w:t xml:space="preserve"> перевозок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на шесть маршрутов по регулируемым тарифам. </w:t>
            </w:r>
          </w:p>
          <w:p w:rsidR="004F669B" w:rsidRPr="005656FE" w:rsidRDefault="004F669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5B13" w:rsidTr="00FF7D75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B13" w:rsidRDefault="00BD5B13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получившего жилые помещения и улучшившего </w:t>
            </w:r>
            <w:r w:rsidRPr="00FC4483">
              <w:rPr>
                <w:rFonts w:ascii="Times New Roman" w:hAnsi="Times New Roman"/>
              </w:rPr>
              <w:lastRenderedPageBreak/>
              <w:t>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324" w:type="dxa"/>
          </w:tcPr>
          <w:p w:rsidR="00A93E1B" w:rsidRPr="00FC4483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2,85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4,61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+1,76</w:t>
            </w:r>
          </w:p>
        </w:tc>
        <w:tc>
          <w:tcPr>
            <w:tcW w:w="1474" w:type="dxa"/>
          </w:tcPr>
          <w:p w:rsidR="00A93E1B" w:rsidRDefault="008A3BBD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2,87</w:t>
            </w:r>
          </w:p>
        </w:tc>
        <w:tc>
          <w:tcPr>
            <w:tcW w:w="1474" w:type="dxa"/>
          </w:tcPr>
          <w:p w:rsidR="00A93E1B" w:rsidRDefault="008A3BBD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2,32</w:t>
            </w:r>
          </w:p>
        </w:tc>
        <w:tc>
          <w:tcPr>
            <w:tcW w:w="1474" w:type="dxa"/>
          </w:tcPr>
          <w:p w:rsidR="00A93E1B" w:rsidRDefault="008A3BBD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-0,55</w:t>
            </w:r>
          </w:p>
        </w:tc>
        <w:tc>
          <w:tcPr>
            <w:tcW w:w="2133" w:type="dxa"/>
          </w:tcPr>
          <w:p w:rsidR="00A93E1B" w:rsidRPr="008A3BBD" w:rsidRDefault="008A3BBD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3BBD">
              <w:rPr>
                <w:rFonts w:ascii="Times New Roman" w:hAnsi="Times New Roman"/>
                <w:sz w:val="16"/>
                <w:szCs w:val="16"/>
              </w:rPr>
              <w:t xml:space="preserve">Ужесточение требований к получателям субсидий привело в 2021 году к уменьшению количества претендентов </w:t>
            </w:r>
            <w:r>
              <w:rPr>
                <w:rFonts w:ascii="Times New Roman" w:hAnsi="Times New Roman"/>
                <w:sz w:val="16"/>
                <w:szCs w:val="16"/>
              </w:rPr>
              <w:t>на получение субсидии с целью улучшения жилищных условий.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Годовой объем ввода жилья экономкласса в эксплуатацию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1" w:name="_Hlk21449419"/>
            <w:proofErr w:type="gramStart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</w:t>
            </w:r>
            <w:proofErr w:type="gramEnd"/>
            <w:r w:rsidRPr="00FC4483">
              <w:rPr>
                <w:rFonts w:ascii="Times New Roman" w:hAnsi="Times New Roman"/>
              </w:rPr>
              <w:t xml:space="preserve"> в которых разработан и утвержден, согласно действующего законодательства генеральный план поселения</w:t>
            </w:r>
            <w:bookmarkEnd w:id="1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74" w:type="dxa"/>
          </w:tcPr>
          <w:p w:rsidR="00A93E1B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5B13" w:rsidTr="001E2C3F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B13" w:rsidRDefault="00BD5B13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2" w:name="_Hlk21504288"/>
            <w:r w:rsidRPr="00FC4483">
              <w:rPr>
                <w:rFonts w:ascii="Times New Roman" w:hAnsi="Times New Roman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FC4483">
              <w:rPr>
                <w:rFonts w:ascii="Times New Roman" w:hAnsi="Times New Roman"/>
              </w:rPr>
              <w:t>программу  ФКР</w:t>
            </w:r>
            <w:proofErr w:type="gramEnd"/>
            <w:r w:rsidRPr="00FC4483">
              <w:rPr>
                <w:rFonts w:ascii="Times New Roman" w:hAnsi="Times New Roman"/>
              </w:rPr>
              <w:t xml:space="preserve"> МКД</w:t>
            </w:r>
            <w:bookmarkEnd w:id="2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14,8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1,5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-13,3</w:t>
            </w:r>
          </w:p>
        </w:tc>
        <w:tc>
          <w:tcPr>
            <w:tcW w:w="1474" w:type="dxa"/>
          </w:tcPr>
          <w:p w:rsidR="00A93E1B" w:rsidRPr="00133D3B" w:rsidRDefault="00F53D36" w:rsidP="00133D3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14,2</w:t>
            </w:r>
          </w:p>
        </w:tc>
        <w:tc>
          <w:tcPr>
            <w:tcW w:w="1474" w:type="dxa"/>
          </w:tcPr>
          <w:p w:rsidR="00A93E1B" w:rsidRPr="00133D3B" w:rsidRDefault="00F53D36" w:rsidP="00133D3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474" w:type="dxa"/>
          </w:tcPr>
          <w:p w:rsidR="00A93E1B" w:rsidRPr="00133D3B" w:rsidRDefault="00F53D36" w:rsidP="00133D3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-14,1</w:t>
            </w:r>
          </w:p>
        </w:tc>
        <w:tc>
          <w:tcPr>
            <w:tcW w:w="2133" w:type="dxa"/>
          </w:tcPr>
          <w:p w:rsidR="00A93E1B" w:rsidRPr="00F53D36" w:rsidRDefault="00F53D36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3D36">
              <w:rPr>
                <w:rFonts w:ascii="Times New Roman" w:hAnsi="Times New Roman"/>
                <w:sz w:val="16"/>
                <w:szCs w:val="16"/>
              </w:rPr>
              <w:t xml:space="preserve">Невыполнение результата обусловлено ростом цен на строительные материалы, вследствие чего фактическая стоимость работ по капитальному ремонту превышает рассчитанную стоимость. Сложившая ситуация привела к снижению объемов выполненных работ. Рост цен на строительные материалы сказался на потере интереса к электронным аукционам, проводимым Региональным фондом </w:t>
            </w:r>
            <w:r w:rsidRPr="00F53D3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капитального ремонта многоквартирных домов Омской области, часть из них признаны несостоявшимися. 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1474" w:type="dxa"/>
          </w:tcPr>
          <w:p w:rsidR="00A93E1B" w:rsidRDefault="00226F8A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1228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474" w:type="dxa"/>
          </w:tcPr>
          <w:p w:rsidR="00A93E1B" w:rsidRDefault="00226F8A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1474" w:type="dxa"/>
          </w:tcPr>
          <w:p w:rsidR="00A93E1B" w:rsidRDefault="00226F8A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</w:t>
            </w:r>
            <w:r w:rsidR="00226F8A">
              <w:rPr>
                <w:rFonts w:ascii="Times New Roman" w:hAnsi="Times New Roman"/>
              </w:rPr>
              <w:t>4</w:t>
            </w:r>
          </w:p>
        </w:tc>
        <w:tc>
          <w:tcPr>
            <w:tcW w:w="1474" w:type="dxa"/>
          </w:tcPr>
          <w:p w:rsidR="00A93E1B" w:rsidRDefault="00A049B2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+0,4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bookmarkStart w:id="3" w:name="_Hlk21532046"/>
            <w:r w:rsidRPr="00FC4483">
              <w:rPr>
                <w:rFonts w:ascii="Times New Roman" w:hAnsi="Times New Roman"/>
              </w:rPr>
              <w:t xml:space="preserve">Ожидаемый результат: Количество </w:t>
            </w:r>
            <w:proofErr w:type="gramStart"/>
            <w:r w:rsidRPr="00FC4483">
              <w:rPr>
                <w:rFonts w:ascii="Times New Roman" w:hAnsi="Times New Roman"/>
              </w:rPr>
              <w:t>котельных,  обеспеченных</w:t>
            </w:r>
            <w:proofErr w:type="gramEnd"/>
            <w:r w:rsidRPr="00FC4483">
              <w:rPr>
                <w:rFonts w:ascii="Times New Roman" w:hAnsi="Times New Roman"/>
              </w:rPr>
              <w:t xml:space="preserve"> бесперебойными источниками электроснабжения</w:t>
            </w:r>
            <w:bookmarkEnd w:id="3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t>ед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74" w:type="dxa"/>
          </w:tcPr>
          <w:p w:rsidR="00A93E1B" w:rsidRDefault="0023305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5B13" w:rsidTr="00CA2154">
        <w:tc>
          <w:tcPr>
            <w:tcW w:w="14786" w:type="dxa"/>
            <w:gridSpan w:val="10"/>
          </w:tcPr>
          <w:p w:rsidR="00BD5B13" w:rsidRDefault="00BD5B13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3 «Модернизация и развитие автомобильных дорог»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FC4483">
              <w:rPr>
                <w:rFonts w:ascii="Times New Roman" w:hAnsi="Times New Roman"/>
              </w:rPr>
              <w:lastRenderedPageBreak/>
              <w:t>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1474" w:type="dxa"/>
          </w:tcPr>
          <w:p w:rsidR="00A93E1B" w:rsidRDefault="00A049B2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1474" w:type="dxa"/>
          </w:tcPr>
          <w:p w:rsidR="00A93E1B" w:rsidRDefault="00A049B2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474" w:type="dxa"/>
          </w:tcPr>
          <w:p w:rsidR="00A93E1B" w:rsidRDefault="00A049B2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+4,2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5B13" w:rsidTr="001253C8">
        <w:tc>
          <w:tcPr>
            <w:tcW w:w="14786" w:type="dxa"/>
            <w:gridSpan w:val="10"/>
          </w:tcPr>
          <w:p w:rsidR="00BD5B13" w:rsidRDefault="00BD5B13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A93E1B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145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4" w:type="dxa"/>
          </w:tcPr>
          <w:p w:rsidR="00A93E1B" w:rsidRDefault="0093244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4" w:type="dxa"/>
          </w:tcPr>
          <w:p w:rsidR="00A93E1B" w:rsidRDefault="0093244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4" w:type="dxa"/>
          </w:tcPr>
          <w:p w:rsidR="00A93E1B" w:rsidRDefault="00932440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33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CF12D7" w:rsidRPr="005A3030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20C4"/>
    <w:rsid w:val="00284799"/>
    <w:rsid w:val="002C0F42"/>
    <w:rsid w:val="002E376F"/>
    <w:rsid w:val="002F2789"/>
    <w:rsid w:val="002F7FC6"/>
    <w:rsid w:val="00301B3B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4F669B"/>
    <w:rsid w:val="00507274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A3BBD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450DF"/>
    <w:rsid w:val="00F457E3"/>
    <w:rsid w:val="00F50069"/>
    <w:rsid w:val="00F53D36"/>
    <w:rsid w:val="00F71F70"/>
    <w:rsid w:val="00F751F1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E6F9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96F0-107B-4EC2-A403-1F5C6AA3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155</cp:revision>
  <cp:lastPrinted>2021-05-24T09:37:00Z</cp:lastPrinted>
  <dcterms:created xsi:type="dcterms:W3CDTF">2017-05-10T05:48:00Z</dcterms:created>
  <dcterms:modified xsi:type="dcterms:W3CDTF">2022-05-25T11:42:00Z</dcterms:modified>
</cp:coreProperties>
</file>