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Y="-1025"/>
        <w:tblW w:w="19954" w:type="dxa"/>
        <w:tblLook w:val="04A0" w:firstRow="1" w:lastRow="0" w:firstColumn="1" w:lastColumn="0" w:noHBand="0" w:noVBand="1"/>
      </w:tblPr>
      <w:tblGrid>
        <w:gridCol w:w="9322"/>
        <w:gridCol w:w="10632"/>
      </w:tblGrid>
      <w:tr w:rsidR="00882DE1" w:rsidTr="00231008">
        <w:tc>
          <w:tcPr>
            <w:tcW w:w="9322" w:type="dxa"/>
          </w:tcPr>
          <w:p w:rsidR="00882DE1" w:rsidRDefault="00882DE1" w:rsidP="007651A4"/>
        </w:tc>
        <w:tc>
          <w:tcPr>
            <w:tcW w:w="10632" w:type="dxa"/>
          </w:tcPr>
          <w:p w:rsidR="00882DE1" w:rsidRPr="00231008" w:rsidRDefault="00882DE1" w:rsidP="00231008">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Приложение № 2</w:t>
            </w:r>
          </w:p>
          <w:p w:rsidR="001237D1" w:rsidRPr="00231008" w:rsidRDefault="00882DE1" w:rsidP="00231008">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 xml:space="preserve">к Постановлению Администрации </w:t>
            </w:r>
          </w:p>
          <w:p w:rsidR="00882DE1" w:rsidRPr="00231008" w:rsidRDefault="00882DE1" w:rsidP="00231008">
            <w:pPr>
              <w:autoSpaceDE w:val="0"/>
              <w:autoSpaceDN w:val="0"/>
              <w:adjustRightInd w:val="0"/>
              <w:spacing w:after="0"/>
              <w:rPr>
                <w:rFonts w:ascii="Times New Roman" w:hAnsi="Times New Roman"/>
                <w:sz w:val="28"/>
                <w:szCs w:val="28"/>
              </w:rPr>
            </w:pPr>
            <w:r w:rsidRPr="00231008">
              <w:rPr>
                <w:rFonts w:ascii="Times New Roman" w:hAnsi="Times New Roman"/>
                <w:sz w:val="28"/>
                <w:szCs w:val="28"/>
              </w:rPr>
              <w:t xml:space="preserve">Таврического муниципального района </w:t>
            </w:r>
          </w:p>
          <w:p w:rsidR="00882DE1" w:rsidRPr="0099207F" w:rsidRDefault="0099207F" w:rsidP="00231008">
            <w:pPr>
              <w:spacing w:after="0"/>
              <w:rPr>
                <w:rFonts w:ascii="Times New Roman" w:hAnsi="Times New Roman"/>
              </w:rPr>
            </w:pPr>
            <w:r w:rsidRPr="00231008">
              <w:rPr>
                <w:rFonts w:ascii="Times New Roman" w:hAnsi="Times New Roman"/>
                <w:sz w:val="28"/>
                <w:szCs w:val="28"/>
              </w:rPr>
              <w:t xml:space="preserve">от </w:t>
            </w:r>
            <w:r w:rsidR="007B71CE" w:rsidRPr="00231008">
              <w:rPr>
                <w:rFonts w:ascii="Times New Roman" w:hAnsi="Times New Roman"/>
                <w:sz w:val="28"/>
                <w:szCs w:val="28"/>
              </w:rPr>
              <w:t xml:space="preserve">                      </w:t>
            </w:r>
            <w:r w:rsidRPr="00231008">
              <w:rPr>
                <w:rFonts w:ascii="Times New Roman" w:hAnsi="Times New Roman"/>
                <w:sz w:val="28"/>
                <w:szCs w:val="28"/>
              </w:rPr>
              <w:t>№</w:t>
            </w:r>
            <w:r w:rsidRPr="0099207F">
              <w:rPr>
                <w:rFonts w:ascii="Times New Roman" w:hAnsi="Times New Roman"/>
              </w:rPr>
              <w:t xml:space="preserve"> </w:t>
            </w:r>
            <w:r w:rsidR="007B71CE">
              <w:rPr>
                <w:rFonts w:ascii="Times New Roman" w:hAnsi="Times New Roman"/>
              </w:rPr>
              <w:t xml:space="preserve">                 </w:t>
            </w:r>
          </w:p>
        </w:tc>
      </w:tr>
    </w:tbl>
    <w:p w:rsidR="0025058C" w:rsidRPr="001D6CAE" w:rsidRDefault="0025058C" w:rsidP="001237D1">
      <w:pPr>
        <w:pStyle w:val="ConsPlusNonformat"/>
        <w:contextualSpacing/>
        <w:rPr>
          <w:rFonts w:ascii="Times New Roman" w:hAnsi="Times New Roman" w:cs="Times New Roman"/>
        </w:rPr>
      </w:pP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РАСЧЕТ</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оценки эффективности реализации муниципальной</w:t>
      </w:r>
    </w:p>
    <w:p w:rsidR="0025058C" w:rsidRPr="001D6CAE" w:rsidRDefault="0025058C" w:rsidP="0025058C">
      <w:pPr>
        <w:pStyle w:val="ConsPlusNonformat"/>
        <w:contextualSpacing/>
        <w:jc w:val="center"/>
        <w:rPr>
          <w:rFonts w:ascii="Times New Roman" w:hAnsi="Times New Roman" w:cs="Times New Roman"/>
        </w:rPr>
      </w:pPr>
      <w:r w:rsidRPr="001D6CAE">
        <w:rPr>
          <w:rFonts w:ascii="Times New Roman" w:hAnsi="Times New Roman" w:cs="Times New Roman"/>
        </w:rPr>
        <w:t xml:space="preserve">программы </w:t>
      </w:r>
      <w:hyperlink w:anchor="P167" w:history="1">
        <w:r w:rsidRPr="001D6CAE">
          <w:rPr>
            <w:rFonts w:ascii="Times New Roman" w:hAnsi="Times New Roman" w:cs="Times New Roman"/>
            <w:color w:val="0000FF"/>
          </w:rPr>
          <w:t>&lt;1&gt;</w:t>
        </w:r>
      </w:hyperlink>
      <w:r w:rsidRPr="001D6CAE">
        <w:rPr>
          <w:rFonts w:ascii="Times New Roman" w:hAnsi="Times New Roman" w:cs="Times New Roman"/>
        </w:rPr>
        <w:t xml:space="preserve"> (далее - МП)</w:t>
      </w:r>
    </w:p>
    <w:p w:rsidR="0025058C" w:rsidRPr="001D6CAE" w:rsidRDefault="00F6328E" w:rsidP="0025058C">
      <w:pPr>
        <w:pStyle w:val="ConsPlusNonformat"/>
        <w:contextualSpacing/>
        <w:jc w:val="center"/>
        <w:rPr>
          <w:rFonts w:ascii="Times New Roman" w:hAnsi="Times New Roman" w:cs="Times New Roman"/>
        </w:rPr>
      </w:pPr>
      <w:bookmarkStart w:id="0" w:name="_Hlk34206804"/>
      <w:bookmarkStart w:id="1" w:name="_Hlk41316005"/>
      <w:r w:rsidRPr="00F6328E">
        <w:rPr>
          <w:rFonts w:ascii="Times New Roman" w:hAnsi="Times New Roman" w:cs="Times New Roman"/>
          <w:b/>
          <w:u w:val="single"/>
        </w:rPr>
        <w:t xml:space="preserve">«Формирование законопослушного поведения участников дорожного движения в Таврическом муниципальном районе Омской </w:t>
      </w:r>
      <w:proofErr w:type="gramStart"/>
      <w:r w:rsidRPr="00F6328E">
        <w:rPr>
          <w:rFonts w:ascii="Times New Roman" w:hAnsi="Times New Roman" w:cs="Times New Roman"/>
          <w:b/>
          <w:u w:val="single"/>
        </w:rPr>
        <w:t>области  на</w:t>
      </w:r>
      <w:proofErr w:type="gramEnd"/>
      <w:r w:rsidRPr="00F6328E">
        <w:rPr>
          <w:rFonts w:ascii="Times New Roman" w:hAnsi="Times New Roman" w:cs="Times New Roman"/>
          <w:b/>
          <w:u w:val="single"/>
        </w:rPr>
        <w:t xml:space="preserve"> 2019-2024 годы»</w:t>
      </w:r>
      <w:bookmarkEnd w:id="0"/>
      <w:r w:rsidRPr="00F6328E">
        <w:rPr>
          <w:rFonts w:ascii="Times New Roman" w:hAnsi="Times New Roman" w:cs="Times New Roman"/>
          <w:b/>
          <w:u w:val="single"/>
        </w:rPr>
        <w:t xml:space="preserve"> </w:t>
      </w:r>
      <w:bookmarkEnd w:id="1"/>
      <w:r w:rsidR="0025058C" w:rsidRPr="001D6CAE">
        <w:rPr>
          <w:rFonts w:ascii="Times New Roman" w:hAnsi="Times New Roman" w:cs="Times New Roman"/>
        </w:rPr>
        <w:t>(наименование муниципальной программы)</w:t>
      </w:r>
    </w:p>
    <w:p w:rsidR="0025058C" w:rsidRDefault="0025058C" w:rsidP="0025058C">
      <w:pPr>
        <w:pStyle w:val="ConsPlusNonformat"/>
        <w:contextualSpacing/>
        <w:jc w:val="center"/>
        <w:rPr>
          <w:rFonts w:ascii="Times New Roman" w:hAnsi="Times New Roman" w:cs="Times New Roman"/>
          <w:b/>
          <w:u w:val="single"/>
        </w:rPr>
      </w:pPr>
      <w:r w:rsidRPr="00573C57">
        <w:rPr>
          <w:rFonts w:ascii="Times New Roman" w:hAnsi="Times New Roman" w:cs="Times New Roman"/>
          <w:b/>
          <w:u w:val="single"/>
        </w:rPr>
        <w:t>за 20</w:t>
      </w:r>
      <w:r w:rsidR="00C76092">
        <w:rPr>
          <w:rFonts w:ascii="Times New Roman" w:hAnsi="Times New Roman" w:cs="Times New Roman"/>
          <w:b/>
          <w:u w:val="single"/>
        </w:rPr>
        <w:t>2</w:t>
      </w:r>
      <w:r w:rsidR="007B71CE">
        <w:rPr>
          <w:rFonts w:ascii="Times New Roman" w:hAnsi="Times New Roman" w:cs="Times New Roman"/>
          <w:b/>
          <w:u w:val="single"/>
        </w:rPr>
        <w:t>2</w:t>
      </w:r>
      <w:r w:rsidRPr="00573C57">
        <w:rPr>
          <w:rFonts w:ascii="Times New Roman" w:hAnsi="Times New Roman" w:cs="Times New Roman"/>
          <w:b/>
          <w:u w:val="single"/>
        </w:rPr>
        <w:t xml:space="preserve"> год</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1.</w:t>
      </w:r>
      <w:r w:rsidRPr="004514FE">
        <w:rPr>
          <w:rFonts w:ascii="Times New Roman" w:hAnsi="Times New Roman" w:cs="Times New Roman"/>
        </w:rPr>
        <w:tab/>
        <w:t>Расчет эффективности реал</w:t>
      </w:r>
      <w:bookmarkStart w:id="2" w:name="_GoBack"/>
      <w:bookmarkEnd w:id="2"/>
      <w:r w:rsidRPr="004514FE">
        <w:rPr>
          <w:rFonts w:ascii="Times New Roman" w:hAnsi="Times New Roman" w:cs="Times New Roman"/>
        </w:rPr>
        <w:t xml:space="preserve">изации муниципальной программы </w:t>
      </w:r>
    </w:p>
    <w:p w:rsidR="004514FE" w:rsidRPr="004514FE" w:rsidRDefault="004514FE" w:rsidP="004514FE">
      <w:pPr>
        <w:pStyle w:val="ConsPlusNonformat"/>
        <w:contextualSpacing/>
        <w:jc w:val="center"/>
        <w:rPr>
          <w:rFonts w:ascii="Times New Roman" w:hAnsi="Times New Roman" w:cs="Times New Roman"/>
        </w:rPr>
      </w:pPr>
      <w:r w:rsidRPr="004514FE">
        <w:rPr>
          <w:rFonts w:ascii="Times New Roman" w:hAnsi="Times New Roman" w:cs="Times New Roman"/>
        </w:rPr>
        <w:t>по целевым индикаторам реализации мероприятий муниципальной программы:</w:t>
      </w:r>
    </w:p>
    <w:p w:rsidR="0025058C" w:rsidRPr="001D6CAE" w:rsidRDefault="0025058C" w:rsidP="0025058C">
      <w:pPr>
        <w:pStyle w:val="ConsPlusNormal"/>
        <w:contextualSpacing/>
        <w:jc w:val="both"/>
        <w:rPr>
          <w:rFonts w:ascii="Times New Roman" w:hAnsi="Times New Roman" w:cs="Times New Roman"/>
        </w:rPr>
      </w:pPr>
    </w:p>
    <w:tbl>
      <w:tblPr>
        <w:tblW w:w="1568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81"/>
        <w:gridCol w:w="1276"/>
        <w:gridCol w:w="1134"/>
        <w:gridCol w:w="708"/>
        <w:gridCol w:w="851"/>
        <w:gridCol w:w="1134"/>
        <w:gridCol w:w="1214"/>
        <w:gridCol w:w="1137"/>
        <w:gridCol w:w="1131"/>
        <w:gridCol w:w="1278"/>
        <w:gridCol w:w="1134"/>
        <w:gridCol w:w="1280"/>
        <w:gridCol w:w="1134"/>
      </w:tblGrid>
      <w:tr w:rsidR="0025058C" w:rsidRPr="001D6CAE" w:rsidTr="00652EC1">
        <w:tc>
          <w:tcPr>
            <w:tcW w:w="488" w:type="dxa"/>
            <w:vMerge w:val="restart"/>
          </w:tcPr>
          <w:p w:rsidR="00EA56C9" w:rsidRDefault="0025058C" w:rsidP="007B71CE">
            <w:pPr>
              <w:pStyle w:val="ConsPlusNormal"/>
              <w:ind w:left="-456" w:hanging="7"/>
              <w:contextualSpacing/>
              <w:jc w:val="center"/>
              <w:rPr>
                <w:rFonts w:ascii="Times New Roman" w:hAnsi="Times New Roman" w:cs="Times New Roman"/>
                <w:sz w:val="18"/>
                <w:szCs w:val="18"/>
              </w:rPr>
            </w:pPr>
            <w:r w:rsidRPr="001D6CAE">
              <w:rPr>
                <w:rFonts w:ascii="Times New Roman" w:hAnsi="Times New Roman" w:cs="Times New Roman"/>
                <w:sz w:val="18"/>
                <w:szCs w:val="18"/>
              </w:rPr>
              <w:t>N</w:t>
            </w:r>
          </w:p>
          <w:p w:rsidR="0025058C" w:rsidRPr="001D6CAE" w:rsidRDefault="0025058C" w:rsidP="007B71CE">
            <w:pPr>
              <w:pStyle w:val="ConsPlusNormal"/>
              <w:ind w:left="-456" w:hanging="7"/>
              <w:contextualSpacing/>
              <w:jc w:val="center"/>
              <w:rPr>
                <w:rFonts w:ascii="Times New Roman" w:hAnsi="Times New Roman" w:cs="Times New Roman"/>
                <w:sz w:val="18"/>
                <w:szCs w:val="18"/>
              </w:rPr>
            </w:pPr>
            <w:r w:rsidRPr="001D6CAE">
              <w:rPr>
                <w:rFonts w:ascii="Times New Roman" w:hAnsi="Times New Roman" w:cs="Times New Roman"/>
                <w:sz w:val="18"/>
                <w:szCs w:val="18"/>
              </w:rPr>
              <w:t>п/п</w:t>
            </w:r>
          </w:p>
        </w:tc>
        <w:tc>
          <w:tcPr>
            <w:tcW w:w="1781" w:type="dxa"/>
            <w:vMerge w:val="restart"/>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 ведомственной целевой программы (далее - ВЦП)/основного мероприятия (далее - ОМ)</w:t>
            </w:r>
          </w:p>
        </w:tc>
        <w:tc>
          <w:tcPr>
            <w:tcW w:w="3969" w:type="dxa"/>
            <w:gridSpan w:val="4"/>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Целевой индикатор реализации мероприятия МП в рамках ВЦП/ОМ (далее - целевой индикатор)</w:t>
            </w:r>
          </w:p>
        </w:tc>
        <w:tc>
          <w:tcPr>
            <w:tcW w:w="1134" w:type="dxa"/>
            <w:vMerge w:val="restart"/>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Степень достижения значения целевого индикатора (единиц) </w:t>
            </w:r>
            <w:hyperlink w:anchor="P168" w:history="1">
              <w:r w:rsidRPr="001D6CAE">
                <w:rPr>
                  <w:rFonts w:ascii="Times New Roman" w:hAnsi="Times New Roman" w:cs="Times New Roman"/>
                  <w:sz w:val="18"/>
                  <w:szCs w:val="18"/>
                </w:rPr>
                <w:t>&lt;2&gt;</w:t>
              </w:r>
            </w:hyperlink>
          </w:p>
        </w:tc>
        <w:tc>
          <w:tcPr>
            <w:tcW w:w="4760" w:type="dxa"/>
            <w:gridSpan w:val="4"/>
            <w:vMerge w:val="restart"/>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Объем финансирования мероприятия, рублей</w:t>
            </w:r>
          </w:p>
        </w:tc>
        <w:tc>
          <w:tcPr>
            <w:tcW w:w="1134" w:type="dxa"/>
            <w:vMerge w:val="restart"/>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Уровень финансового обеспечения мероприятия (единиц) </w:t>
            </w:r>
            <w:hyperlink w:anchor="P169" w:history="1">
              <w:r w:rsidRPr="001D6CAE">
                <w:rPr>
                  <w:rFonts w:ascii="Times New Roman" w:hAnsi="Times New Roman" w:cs="Times New Roman"/>
                  <w:sz w:val="18"/>
                  <w:szCs w:val="18"/>
                </w:rPr>
                <w:t>&lt;3&gt;</w:t>
              </w:r>
            </w:hyperlink>
          </w:p>
        </w:tc>
        <w:tc>
          <w:tcPr>
            <w:tcW w:w="1280" w:type="dxa"/>
            <w:vMerge w:val="restart"/>
          </w:tcPr>
          <w:p w:rsidR="0025058C" w:rsidRPr="001D6CAE" w:rsidRDefault="0025058C" w:rsidP="007B71CE">
            <w:pPr>
              <w:pStyle w:val="ConsPlusNormal"/>
              <w:ind w:left="79" w:right="-19"/>
              <w:contextualSpacing/>
              <w:jc w:val="center"/>
              <w:rPr>
                <w:rFonts w:ascii="Times New Roman" w:hAnsi="Times New Roman" w:cs="Times New Roman"/>
                <w:sz w:val="18"/>
                <w:szCs w:val="18"/>
              </w:rPr>
            </w:pPr>
            <w:r w:rsidRPr="001D6CAE">
              <w:rPr>
                <w:rFonts w:ascii="Times New Roman" w:hAnsi="Times New Roman" w:cs="Times New Roman"/>
                <w:sz w:val="18"/>
                <w:szCs w:val="18"/>
              </w:rPr>
              <w:t xml:space="preserve">Эффективность реализации мероприятия (единиц) </w:t>
            </w:r>
            <w:hyperlink w:anchor="P170" w:history="1">
              <w:r w:rsidRPr="001D6CAE">
                <w:rPr>
                  <w:rFonts w:ascii="Times New Roman" w:hAnsi="Times New Roman" w:cs="Times New Roman"/>
                  <w:color w:val="0000FF"/>
                  <w:sz w:val="18"/>
                  <w:szCs w:val="18"/>
                </w:rPr>
                <w:t>&lt;4&gt;</w:t>
              </w:r>
            </w:hyperlink>
          </w:p>
        </w:tc>
        <w:tc>
          <w:tcPr>
            <w:tcW w:w="1134" w:type="dxa"/>
            <w:vMerge w:val="restart"/>
          </w:tcPr>
          <w:p w:rsidR="0025058C" w:rsidRPr="001D6CAE" w:rsidRDefault="0025058C" w:rsidP="007B71CE">
            <w:pPr>
              <w:pStyle w:val="ConsPlusNormal"/>
              <w:ind w:left="79" w:right="80"/>
              <w:contextualSpacing/>
              <w:jc w:val="center"/>
              <w:rPr>
                <w:rFonts w:ascii="Times New Roman" w:hAnsi="Times New Roman" w:cs="Times New Roman"/>
                <w:sz w:val="18"/>
                <w:szCs w:val="18"/>
              </w:rPr>
            </w:pPr>
            <w:r w:rsidRPr="001D6CAE">
              <w:rPr>
                <w:rFonts w:ascii="Times New Roman" w:hAnsi="Times New Roman" w:cs="Times New Roman"/>
                <w:sz w:val="18"/>
                <w:szCs w:val="18"/>
              </w:rPr>
              <w:t>Эффективность реализации ВЦП/ОМ/подпрограммы ГП (далее - ПП)/ГП (процентов)</w:t>
            </w:r>
            <w:r w:rsidR="00076ABE">
              <w:t xml:space="preserve"> </w:t>
            </w:r>
            <w:r w:rsidR="00076ABE" w:rsidRPr="00076ABE">
              <w:rPr>
                <w:rFonts w:ascii="Times New Roman" w:hAnsi="Times New Roman" w:cs="Times New Roman"/>
                <w:sz w:val="18"/>
                <w:szCs w:val="18"/>
              </w:rPr>
              <w:t>&lt;</w:t>
            </w:r>
            <w:r w:rsidR="00076ABE">
              <w:rPr>
                <w:rFonts w:ascii="Times New Roman" w:hAnsi="Times New Roman" w:cs="Times New Roman"/>
                <w:sz w:val="18"/>
                <w:szCs w:val="18"/>
              </w:rPr>
              <w:t>5</w:t>
            </w:r>
            <w:r w:rsidR="00076ABE" w:rsidRPr="00076ABE">
              <w:rPr>
                <w:rFonts w:ascii="Times New Roman" w:hAnsi="Times New Roman" w:cs="Times New Roman"/>
                <w:sz w:val="18"/>
                <w:szCs w:val="18"/>
              </w:rPr>
              <w:t>&gt;</w:t>
            </w:r>
          </w:p>
        </w:tc>
      </w:tr>
      <w:tr w:rsidR="0025058C" w:rsidRPr="001D6CAE" w:rsidTr="00652EC1">
        <w:tc>
          <w:tcPr>
            <w:tcW w:w="488"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276" w:type="dxa"/>
            <w:vMerge w:val="restart"/>
          </w:tcPr>
          <w:p w:rsidR="0025058C" w:rsidRPr="001D6CAE" w:rsidRDefault="0025058C" w:rsidP="007B71CE">
            <w:pPr>
              <w:pStyle w:val="ConsPlusNormal"/>
              <w:contextualSpacing/>
              <w:jc w:val="center"/>
              <w:rPr>
                <w:rFonts w:ascii="Times New Roman" w:hAnsi="Times New Roman" w:cs="Times New Roman"/>
                <w:sz w:val="18"/>
                <w:szCs w:val="18"/>
              </w:rPr>
            </w:pPr>
            <w:r w:rsidRPr="001D6CAE">
              <w:rPr>
                <w:rFonts w:ascii="Times New Roman" w:hAnsi="Times New Roman" w:cs="Times New Roman"/>
                <w:sz w:val="18"/>
                <w:szCs w:val="18"/>
              </w:rPr>
              <w:t>Наименование</w:t>
            </w:r>
          </w:p>
        </w:tc>
        <w:tc>
          <w:tcPr>
            <w:tcW w:w="1134" w:type="dxa"/>
            <w:vMerge w:val="restart"/>
          </w:tcPr>
          <w:p w:rsidR="0025058C" w:rsidRPr="001D6CAE" w:rsidRDefault="0025058C" w:rsidP="007B71CE">
            <w:pPr>
              <w:pStyle w:val="ConsPlusNormal"/>
              <w:ind w:left="80" w:firstLine="121"/>
              <w:contextualSpacing/>
              <w:jc w:val="center"/>
              <w:rPr>
                <w:rFonts w:ascii="Times New Roman" w:hAnsi="Times New Roman" w:cs="Times New Roman"/>
                <w:sz w:val="18"/>
                <w:szCs w:val="18"/>
              </w:rPr>
            </w:pPr>
            <w:r w:rsidRPr="001D6CAE">
              <w:rPr>
                <w:rFonts w:ascii="Times New Roman" w:hAnsi="Times New Roman" w:cs="Times New Roman"/>
                <w:sz w:val="18"/>
                <w:szCs w:val="18"/>
              </w:rPr>
              <w:t>Единица измерения</w:t>
            </w:r>
          </w:p>
        </w:tc>
        <w:tc>
          <w:tcPr>
            <w:tcW w:w="1559" w:type="dxa"/>
            <w:gridSpan w:val="2"/>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Значение</w:t>
            </w: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4760" w:type="dxa"/>
            <w:gridSpan w:val="4"/>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r>
      <w:tr w:rsidR="0025058C" w:rsidRPr="001D6CAE" w:rsidTr="00652EC1">
        <w:tc>
          <w:tcPr>
            <w:tcW w:w="488"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781"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276"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708" w:type="dxa"/>
          </w:tcPr>
          <w:p w:rsidR="0025058C" w:rsidRPr="001D6CAE" w:rsidRDefault="0025058C" w:rsidP="007B71CE">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план</w:t>
            </w:r>
          </w:p>
        </w:tc>
        <w:tc>
          <w:tcPr>
            <w:tcW w:w="851" w:type="dxa"/>
          </w:tcPr>
          <w:p w:rsidR="0025058C" w:rsidRPr="001D6CAE" w:rsidRDefault="0025058C" w:rsidP="007B71CE">
            <w:pPr>
              <w:pStyle w:val="ConsPlusNormal"/>
              <w:ind w:left="-236"/>
              <w:contextualSpacing/>
              <w:jc w:val="center"/>
              <w:rPr>
                <w:rFonts w:ascii="Times New Roman" w:hAnsi="Times New Roman" w:cs="Times New Roman"/>
                <w:sz w:val="18"/>
                <w:szCs w:val="18"/>
              </w:rPr>
            </w:pPr>
            <w:r w:rsidRPr="001D6CAE">
              <w:rPr>
                <w:rFonts w:ascii="Times New Roman" w:hAnsi="Times New Roman" w:cs="Times New Roman"/>
                <w:sz w:val="18"/>
                <w:szCs w:val="18"/>
              </w:rPr>
              <w:t>факт</w:t>
            </w:r>
          </w:p>
        </w:tc>
        <w:tc>
          <w:tcPr>
            <w:tcW w:w="1134" w:type="dxa"/>
            <w:vMerge/>
          </w:tcPr>
          <w:p w:rsidR="0025058C" w:rsidRPr="001D6CAE" w:rsidRDefault="0025058C" w:rsidP="007B71CE">
            <w:pPr>
              <w:spacing w:after="0"/>
              <w:ind w:left="-236" w:firstLine="720"/>
              <w:contextualSpacing/>
              <w:jc w:val="center"/>
              <w:rPr>
                <w:rFonts w:ascii="Times New Roman" w:hAnsi="Times New Roman"/>
                <w:sz w:val="18"/>
                <w:szCs w:val="18"/>
              </w:rPr>
            </w:pPr>
          </w:p>
        </w:tc>
        <w:tc>
          <w:tcPr>
            <w:tcW w:w="1214" w:type="dxa"/>
          </w:tcPr>
          <w:p w:rsidR="0025058C" w:rsidRPr="001D6CAE" w:rsidRDefault="00EA56C9" w:rsidP="007B71CE">
            <w:pPr>
              <w:pStyle w:val="ConsPlusNormal"/>
              <w:ind w:left="-236"/>
              <w:contextualSpacing/>
              <w:jc w:val="center"/>
              <w:rPr>
                <w:rFonts w:ascii="Times New Roman" w:hAnsi="Times New Roman" w:cs="Times New Roman"/>
                <w:sz w:val="18"/>
                <w:szCs w:val="18"/>
              </w:rPr>
            </w:pPr>
            <w:r>
              <w:rPr>
                <w:rFonts w:ascii="Times New Roman" w:hAnsi="Times New Roman" w:cs="Times New Roman"/>
                <w:sz w:val="18"/>
                <w:szCs w:val="18"/>
              </w:rPr>
              <w:t>П</w:t>
            </w:r>
            <w:r w:rsidR="0025058C" w:rsidRPr="001D6CAE">
              <w:rPr>
                <w:rFonts w:ascii="Times New Roman" w:hAnsi="Times New Roman" w:cs="Times New Roman"/>
                <w:sz w:val="18"/>
                <w:szCs w:val="18"/>
              </w:rPr>
              <w:t>лан</w:t>
            </w:r>
          </w:p>
        </w:tc>
        <w:tc>
          <w:tcPr>
            <w:tcW w:w="1137" w:type="dxa"/>
          </w:tcPr>
          <w:p w:rsidR="0025058C" w:rsidRPr="001D6CAE" w:rsidRDefault="00EA56C9" w:rsidP="007B71CE">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В</w:t>
            </w:r>
            <w:r w:rsidR="0025058C" w:rsidRPr="001D6CAE">
              <w:rPr>
                <w:rFonts w:ascii="Times New Roman" w:hAnsi="Times New Roman" w:cs="Times New Roman"/>
                <w:sz w:val="18"/>
                <w:szCs w:val="18"/>
              </w:rPr>
              <w:t xml:space="preserve"> том числе неисполненные обязательства года, предшествующего отчетному</w:t>
            </w:r>
          </w:p>
        </w:tc>
        <w:tc>
          <w:tcPr>
            <w:tcW w:w="1131" w:type="dxa"/>
          </w:tcPr>
          <w:p w:rsidR="0025058C" w:rsidRPr="001D6CAE" w:rsidRDefault="00EA56C9" w:rsidP="007B71CE">
            <w:pPr>
              <w:pStyle w:val="ConsPlusNormal"/>
              <w:ind w:left="-345"/>
              <w:contextualSpacing/>
              <w:jc w:val="center"/>
              <w:rPr>
                <w:rFonts w:ascii="Times New Roman" w:hAnsi="Times New Roman" w:cs="Times New Roman"/>
                <w:sz w:val="18"/>
                <w:szCs w:val="18"/>
              </w:rPr>
            </w:pPr>
            <w:r>
              <w:rPr>
                <w:rFonts w:ascii="Times New Roman" w:hAnsi="Times New Roman" w:cs="Times New Roman"/>
                <w:sz w:val="18"/>
                <w:szCs w:val="18"/>
              </w:rPr>
              <w:t>Ф</w:t>
            </w:r>
            <w:r w:rsidR="0025058C" w:rsidRPr="001D6CAE">
              <w:rPr>
                <w:rFonts w:ascii="Times New Roman" w:hAnsi="Times New Roman" w:cs="Times New Roman"/>
                <w:sz w:val="18"/>
                <w:szCs w:val="18"/>
              </w:rPr>
              <w:t>акт</w:t>
            </w:r>
          </w:p>
        </w:tc>
        <w:tc>
          <w:tcPr>
            <w:tcW w:w="1278" w:type="dxa"/>
          </w:tcPr>
          <w:p w:rsidR="0025058C" w:rsidRPr="001D6CAE" w:rsidRDefault="00EA56C9" w:rsidP="007B71CE">
            <w:pPr>
              <w:pStyle w:val="ConsPlusNormal"/>
              <w:ind w:left="80" w:firstLine="121"/>
              <w:contextualSpacing/>
              <w:jc w:val="center"/>
              <w:rPr>
                <w:rFonts w:ascii="Times New Roman" w:hAnsi="Times New Roman" w:cs="Times New Roman"/>
                <w:sz w:val="18"/>
                <w:szCs w:val="18"/>
              </w:rPr>
            </w:pPr>
            <w:r>
              <w:rPr>
                <w:rFonts w:ascii="Times New Roman" w:hAnsi="Times New Roman" w:cs="Times New Roman"/>
                <w:sz w:val="18"/>
                <w:szCs w:val="18"/>
              </w:rPr>
              <w:t>Н</w:t>
            </w:r>
            <w:r w:rsidR="0025058C" w:rsidRPr="001D6CAE">
              <w:rPr>
                <w:rFonts w:ascii="Times New Roman" w:hAnsi="Times New Roman" w:cs="Times New Roman"/>
                <w:sz w:val="18"/>
                <w:szCs w:val="18"/>
              </w:rPr>
              <w:t>еисполненные обязательства отчетного года</w:t>
            </w: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280"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c>
          <w:tcPr>
            <w:tcW w:w="1134" w:type="dxa"/>
            <w:vMerge/>
          </w:tcPr>
          <w:p w:rsidR="0025058C" w:rsidRPr="001D6CAE" w:rsidRDefault="0025058C" w:rsidP="007B71CE">
            <w:pPr>
              <w:spacing w:after="0"/>
              <w:ind w:left="-720" w:firstLine="720"/>
              <w:contextualSpacing/>
              <w:jc w:val="center"/>
              <w:rPr>
                <w:rFonts w:ascii="Times New Roman" w:hAnsi="Times New Roman"/>
                <w:sz w:val="18"/>
                <w:szCs w:val="18"/>
              </w:rPr>
            </w:pPr>
          </w:p>
        </w:tc>
      </w:tr>
      <w:tr w:rsidR="0025058C" w:rsidRPr="001D6CAE" w:rsidTr="00652EC1">
        <w:tc>
          <w:tcPr>
            <w:tcW w:w="488" w:type="dxa"/>
          </w:tcPr>
          <w:p w:rsidR="0025058C" w:rsidRPr="001D6CAE" w:rsidRDefault="0025058C" w:rsidP="007B71CE">
            <w:pPr>
              <w:pStyle w:val="ConsPlusNormal"/>
              <w:ind w:left="-456" w:right="-284"/>
              <w:contextualSpacing/>
              <w:jc w:val="center"/>
              <w:rPr>
                <w:rFonts w:ascii="Times New Roman" w:hAnsi="Times New Roman" w:cs="Times New Roman"/>
                <w:sz w:val="18"/>
                <w:szCs w:val="18"/>
              </w:rPr>
            </w:pPr>
            <w:r w:rsidRPr="001D6CAE">
              <w:rPr>
                <w:rFonts w:ascii="Times New Roman" w:hAnsi="Times New Roman" w:cs="Times New Roman"/>
                <w:sz w:val="18"/>
                <w:szCs w:val="18"/>
              </w:rPr>
              <w:t>1</w:t>
            </w:r>
          </w:p>
        </w:tc>
        <w:tc>
          <w:tcPr>
            <w:tcW w:w="1781"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2</w:t>
            </w:r>
          </w:p>
        </w:tc>
        <w:tc>
          <w:tcPr>
            <w:tcW w:w="1276"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3</w:t>
            </w:r>
          </w:p>
        </w:tc>
        <w:tc>
          <w:tcPr>
            <w:tcW w:w="1134"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4</w:t>
            </w:r>
          </w:p>
        </w:tc>
        <w:tc>
          <w:tcPr>
            <w:tcW w:w="708" w:type="dxa"/>
          </w:tcPr>
          <w:p w:rsidR="0025058C" w:rsidRPr="001D6CAE" w:rsidRDefault="0025058C" w:rsidP="007B71CE">
            <w:pPr>
              <w:pStyle w:val="ConsPlusNormal"/>
              <w:ind w:left="-346"/>
              <w:contextualSpacing/>
              <w:jc w:val="center"/>
              <w:rPr>
                <w:rFonts w:ascii="Times New Roman" w:hAnsi="Times New Roman" w:cs="Times New Roman"/>
                <w:sz w:val="18"/>
                <w:szCs w:val="18"/>
              </w:rPr>
            </w:pPr>
            <w:r w:rsidRPr="001D6CAE">
              <w:rPr>
                <w:rFonts w:ascii="Times New Roman" w:hAnsi="Times New Roman" w:cs="Times New Roman"/>
                <w:sz w:val="18"/>
                <w:szCs w:val="18"/>
              </w:rPr>
              <w:t>5</w:t>
            </w:r>
          </w:p>
        </w:tc>
        <w:tc>
          <w:tcPr>
            <w:tcW w:w="851" w:type="dxa"/>
          </w:tcPr>
          <w:p w:rsidR="0025058C" w:rsidRPr="001D6CAE" w:rsidRDefault="0025058C" w:rsidP="007B71CE">
            <w:pPr>
              <w:pStyle w:val="ConsPlusNormal"/>
              <w:ind w:left="-345"/>
              <w:contextualSpacing/>
              <w:jc w:val="center"/>
              <w:rPr>
                <w:rFonts w:ascii="Times New Roman" w:hAnsi="Times New Roman" w:cs="Times New Roman"/>
                <w:sz w:val="18"/>
                <w:szCs w:val="18"/>
              </w:rPr>
            </w:pPr>
            <w:r w:rsidRPr="001D6CAE">
              <w:rPr>
                <w:rFonts w:ascii="Times New Roman" w:hAnsi="Times New Roman" w:cs="Times New Roman"/>
                <w:sz w:val="18"/>
                <w:szCs w:val="18"/>
              </w:rPr>
              <w:t>6</w:t>
            </w:r>
          </w:p>
        </w:tc>
        <w:tc>
          <w:tcPr>
            <w:tcW w:w="1134"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7</w:t>
            </w:r>
          </w:p>
        </w:tc>
        <w:tc>
          <w:tcPr>
            <w:tcW w:w="1214" w:type="dxa"/>
          </w:tcPr>
          <w:p w:rsidR="0025058C" w:rsidRPr="001D6CAE" w:rsidRDefault="0025058C" w:rsidP="007B71CE">
            <w:pPr>
              <w:pStyle w:val="ConsPlusNormal"/>
              <w:ind w:left="-629" w:firstLine="374"/>
              <w:contextualSpacing/>
              <w:jc w:val="center"/>
              <w:rPr>
                <w:rFonts w:ascii="Times New Roman" w:hAnsi="Times New Roman" w:cs="Times New Roman"/>
                <w:sz w:val="18"/>
                <w:szCs w:val="18"/>
              </w:rPr>
            </w:pPr>
            <w:r w:rsidRPr="001D6CAE">
              <w:rPr>
                <w:rFonts w:ascii="Times New Roman" w:hAnsi="Times New Roman" w:cs="Times New Roman"/>
                <w:sz w:val="18"/>
                <w:szCs w:val="18"/>
              </w:rPr>
              <w:t>8</w:t>
            </w:r>
          </w:p>
        </w:tc>
        <w:tc>
          <w:tcPr>
            <w:tcW w:w="1137"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9</w:t>
            </w:r>
          </w:p>
        </w:tc>
        <w:tc>
          <w:tcPr>
            <w:tcW w:w="1131"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10</w:t>
            </w:r>
          </w:p>
        </w:tc>
        <w:tc>
          <w:tcPr>
            <w:tcW w:w="1278"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11</w:t>
            </w:r>
          </w:p>
        </w:tc>
        <w:tc>
          <w:tcPr>
            <w:tcW w:w="1134"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12</w:t>
            </w:r>
          </w:p>
        </w:tc>
        <w:tc>
          <w:tcPr>
            <w:tcW w:w="1280"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13</w:t>
            </w:r>
          </w:p>
        </w:tc>
        <w:tc>
          <w:tcPr>
            <w:tcW w:w="1134" w:type="dxa"/>
          </w:tcPr>
          <w:p w:rsidR="0025058C" w:rsidRPr="001D6CAE" w:rsidRDefault="0025058C" w:rsidP="007B71CE">
            <w:pPr>
              <w:pStyle w:val="ConsPlusNormal"/>
              <w:ind w:left="-720"/>
              <w:contextualSpacing/>
              <w:jc w:val="center"/>
              <w:rPr>
                <w:rFonts w:ascii="Times New Roman" w:hAnsi="Times New Roman" w:cs="Times New Roman"/>
                <w:sz w:val="18"/>
                <w:szCs w:val="18"/>
              </w:rPr>
            </w:pPr>
            <w:r w:rsidRPr="001D6CAE">
              <w:rPr>
                <w:rFonts w:ascii="Times New Roman" w:hAnsi="Times New Roman" w:cs="Times New Roman"/>
                <w:sz w:val="18"/>
                <w:szCs w:val="18"/>
              </w:rPr>
              <w:t>14</w:t>
            </w:r>
          </w:p>
        </w:tc>
      </w:tr>
      <w:tr w:rsidR="0025058C" w:rsidRPr="001D6CAE" w:rsidTr="00BB2B7E">
        <w:tc>
          <w:tcPr>
            <w:tcW w:w="15680" w:type="dxa"/>
            <w:gridSpan w:val="14"/>
            <w:vAlign w:val="bottom"/>
          </w:tcPr>
          <w:p w:rsidR="0025058C"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Подпрограмма: «Повышение безопасности дорожного движения»</w:t>
            </w:r>
          </w:p>
        </w:tc>
      </w:tr>
      <w:tr w:rsidR="00F95605" w:rsidRPr="001D6CAE" w:rsidTr="00BB2B7E">
        <w:tc>
          <w:tcPr>
            <w:tcW w:w="15680" w:type="dxa"/>
            <w:gridSpan w:val="14"/>
            <w:vAlign w:val="bottom"/>
          </w:tcPr>
          <w:p w:rsidR="00F95605" w:rsidRPr="000E2AED" w:rsidRDefault="009C09FB" w:rsidP="007373E6">
            <w:pPr>
              <w:pStyle w:val="ConsPlusNormal"/>
              <w:contextualSpacing/>
              <w:jc w:val="center"/>
              <w:rPr>
                <w:rFonts w:ascii="Times New Roman" w:hAnsi="Times New Roman" w:cs="Times New Roman"/>
                <w:b/>
                <w:sz w:val="18"/>
                <w:szCs w:val="18"/>
              </w:rPr>
            </w:pPr>
            <w:r w:rsidRPr="009C09FB">
              <w:rPr>
                <w:rFonts w:ascii="Times New Roman" w:hAnsi="Times New Roman" w:cs="Times New Roman"/>
                <w:b/>
                <w:sz w:val="18"/>
                <w:szCs w:val="18"/>
              </w:rPr>
              <w:t>Основное мероприятие. «Популяризация законопослушного поведения»</w:t>
            </w:r>
          </w:p>
        </w:tc>
      </w:tr>
      <w:tr w:rsidR="00F95605" w:rsidRPr="001D6CAE" w:rsidTr="00BB2B7E">
        <w:tc>
          <w:tcPr>
            <w:tcW w:w="15680" w:type="dxa"/>
            <w:gridSpan w:val="14"/>
            <w:vAlign w:val="bottom"/>
          </w:tcPr>
          <w:p w:rsidR="00F95605" w:rsidRPr="00F95605" w:rsidRDefault="00F95605" w:rsidP="007373E6">
            <w:pPr>
              <w:pStyle w:val="ConsPlusNormal"/>
              <w:contextualSpacing/>
              <w:jc w:val="center"/>
              <w:rPr>
                <w:rFonts w:ascii="Times New Roman" w:hAnsi="Times New Roman" w:cs="Times New Roman"/>
                <w:sz w:val="18"/>
                <w:szCs w:val="18"/>
              </w:rPr>
            </w:pPr>
            <w:r w:rsidRPr="00F95605">
              <w:rPr>
                <w:rFonts w:ascii="Times New Roman" w:hAnsi="Times New Roman" w:cs="Times New Roman"/>
                <w:sz w:val="18"/>
                <w:szCs w:val="18"/>
              </w:rPr>
              <w:t>Мероприятия</w:t>
            </w:r>
            <w:r>
              <w:rPr>
                <w:rFonts w:ascii="Times New Roman" w:hAnsi="Times New Roman" w:cs="Times New Roman"/>
                <w:sz w:val="18"/>
                <w:szCs w:val="18"/>
              </w:rPr>
              <w:t>, за исключением мероприятий в рамках деятельности субъектов бюджетного планирования, связанной с осуществлением функций руководства и управления в сфере установленных функций</w:t>
            </w:r>
          </w:p>
        </w:tc>
      </w:tr>
      <w:tr w:rsidR="00F457E3" w:rsidRPr="001D6CAE" w:rsidTr="00652EC1">
        <w:trPr>
          <w:trHeight w:val="20"/>
        </w:trPr>
        <w:tc>
          <w:tcPr>
            <w:tcW w:w="488" w:type="dxa"/>
          </w:tcPr>
          <w:p w:rsidR="00F457E3" w:rsidRPr="001D6CAE" w:rsidRDefault="00F457E3" w:rsidP="00F457E3">
            <w:pPr>
              <w:pStyle w:val="ConsPlusNormal"/>
              <w:contextualSpacing/>
              <w:rPr>
                <w:rFonts w:ascii="Times New Roman" w:hAnsi="Times New Roman" w:cs="Times New Roman"/>
                <w:sz w:val="18"/>
                <w:szCs w:val="18"/>
              </w:rPr>
            </w:pPr>
          </w:p>
        </w:tc>
        <w:tc>
          <w:tcPr>
            <w:tcW w:w="1781" w:type="dxa"/>
          </w:tcPr>
          <w:p w:rsidR="00F457E3" w:rsidRPr="00B56EEC" w:rsidRDefault="00840050" w:rsidP="00F457E3">
            <w:pPr>
              <w:pStyle w:val="ConsPlusNormal"/>
              <w:ind w:left="79" w:right="-19"/>
              <w:contextualSpacing/>
              <w:jc w:val="center"/>
              <w:rPr>
                <w:rFonts w:ascii="Times New Roman" w:hAnsi="Times New Roman" w:cs="Times New Roman"/>
                <w:sz w:val="18"/>
                <w:szCs w:val="18"/>
              </w:rPr>
            </w:pPr>
            <w:bookmarkStart w:id="3" w:name="_Hlk2086890"/>
            <w:r w:rsidRPr="00840050">
              <w:rPr>
                <w:rFonts w:ascii="Times New Roman" w:hAnsi="Times New Roman" w:cs="Times New Roman"/>
                <w:sz w:val="18"/>
                <w:szCs w:val="18"/>
              </w:rPr>
              <w:t xml:space="preserve">Мероприятие 4. Проведение профилактических акций и массовых мероприятий, </w:t>
            </w:r>
            <w:r w:rsidRPr="00840050">
              <w:rPr>
                <w:rFonts w:ascii="Times New Roman" w:hAnsi="Times New Roman" w:cs="Times New Roman"/>
                <w:sz w:val="18"/>
                <w:szCs w:val="18"/>
              </w:rPr>
              <w:br/>
            </w:r>
            <w:r w:rsidRPr="00840050">
              <w:rPr>
                <w:rFonts w:ascii="Times New Roman" w:hAnsi="Times New Roman" w:cs="Times New Roman"/>
                <w:sz w:val="18"/>
                <w:szCs w:val="18"/>
              </w:rPr>
              <w:lastRenderedPageBreak/>
              <w:t>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bookmarkEnd w:id="3"/>
          </w:p>
        </w:tc>
        <w:tc>
          <w:tcPr>
            <w:tcW w:w="1276" w:type="dxa"/>
            <w:tcBorders>
              <w:bottom w:val="single" w:sz="4" w:space="0" w:color="auto"/>
            </w:tcBorders>
          </w:tcPr>
          <w:p w:rsidR="005C0397" w:rsidRPr="005C0397" w:rsidRDefault="005C0397" w:rsidP="009C09FB">
            <w:pPr>
              <w:pStyle w:val="ConsPlusNormal"/>
              <w:ind w:right="-19"/>
              <w:contextualSpacing/>
              <w:jc w:val="center"/>
              <w:rPr>
                <w:rFonts w:ascii="Times New Roman" w:hAnsi="Times New Roman" w:cs="Times New Roman"/>
                <w:b/>
                <w:bCs/>
                <w:sz w:val="18"/>
                <w:szCs w:val="18"/>
              </w:rPr>
            </w:pPr>
            <w:r w:rsidRPr="005C0397">
              <w:rPr>
                <w:rFonts w:ascii="Times New Roman" w:hAnsi="Times New Roman" w:cs="Times New Roman"/>
                <w:b/>
                <w:bCs/>
                <w:sz w:val="18"/>
                <w:szCs w:val="18"/>
              </w:rPr>
              <w:lastRenderedPageBreak/>
              <w:t>Индикатор</w:t>
            </w:r>
          </w:p>
          <w:p w:rsidR="00F457E3" w:rsidRPr="001D6CAE" w:rsidRDefault="00C936B8" w:rsidP="009C09FB">
            <w:pPr>
              <w:pStyle w:val="ConsPlusNormal"/>
              <w:ind w:right="-19"/>
              <w:contextualSpacing/>
              <w:jc w:val="center"/>
              <w:rPr>
                <w:rFonts w:ascii="Times New Roman" w:hAnsi="Times New Roman" w:cs="Times New Roman"/>
                <w:sz w:val="18"/>
                <w:szCs w:val="18"/>
              </w:rPr>
            </w:pPr>
            <w:r w:rsidRPr="00C936B8">
              <w:rPr>
                <w:rFonts w:ascii="Times New Roman" w:hAnsi="Times New Roman" w:cs="Times New Roman"/>
                <w:sz w:val="18"/>
                <w:szCs w:val="18"/>
              </w:rPr>
              <w:t>Число проведенных мероприятий</w:t>
            </w:r>
          </w:p>
        </w:tc>
        <w:tc>
          <w:tcPr>
            <w:tcW w:w="1134" w:type="dxa"/>
          </w:tcPr>
          <w:p w:rsidR="00F457E3" w:rsidRPr="001D6CAE" w:rsidRDefault="009C09FB"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p w:rsidR="00F457E3" w:rsidRPr="001D6CAE" w:rsidRDefault="00F457E3" w:rsidP="00F457E3">
            <w:pPr>
              <w:pStyle w:val="ConsPlusNormal"/>
              <w:ind w:left="79" w:right="-19"/>
              <w:contextualSpacing/>
              <w:jc w:val="center"/>
              <w:rPr>
                <w:rFonts w:ascii="Times New Roman" w:hAnsi="Times New Roman" w:cs="Times New Roman"/>
                <w:sz w:val="18"/>
                <w:szCs w:val="18"/>
              </w:rPr>
            </w:pPr>
          </w:p>
        </w:tc>
        <w:tc>
          <w:tcPr>
            <w:tcW w:w="708"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p>
        </w:tc>
        <w:tc>
          <w:tcPr>
            <w:tcW w:w="851" w:type="dxa"/>
          </w:tcPr>
          <w:p w:rsidR="00F457E3" w:rsidRPr="001D6CAE" w:rsidRDefault="00C936B8"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w:t>
            </w:r>
            <w:r w:rsidR="006B4050">
              <w:rPr>
                <w:rFonts w:ascii="Times New Roman" w:hAnsi="Times New Roman" w:cs="Times New Roman"/>
                <w:sz w:val="18"/>
                <w:szCs w:val="18"/>
              </w:rPr>
              <w:t>2</w:t>
            </w:r>
          </w:p>
        </w:tc>
        <w:tc>
          <w:tcPr>
            <w:tcW w:w="1134"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w:t>
            </w:r>
            <w:r w:rsidR="00EC4797">
              <w:rPr>
                <w:rFonts w:ascii="Times New Roman" w:hAnsi="Times New Roman" w:cs="Times New Roman"/>
                <w:sz w:val="18"/>
                <w:szCs w:val="18"/>
              </w:rPr>
              <w:t>,00</w:t>
            </w:r>
          </w:p>
        </w:tc>
        <w:tc>
          <w:tcPr>
            <w:tcW w:w="1214" w:type="dxa"/>
          </w:tcPr>
          <w:p w:rsidR="00F457E3" w:rsidRPr="001D6CAE" w:rsidRDefault="006B4050"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19 893,75</w:t>
            </w:r>
          </w:p>
        </w:tc>
        <w:tc>
          <w:tcPr>
            <w:tcW w:w="1137" w:type="dxa"/>
          </w:tcPr>
          <w:p w:rsidR="00F457E3" w:rsidRPr="001D6CAE" w:rsidRDefault="00F457E3"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F457E3" w:rsidRPr="001D6CAE" w:rsidRDefault="006B4050"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19 893,75</w:t>
            </w:r>
          </w:p>
        </w:tc>
        <w:tc>
          <w:tcPr>
            <w:tcW w:w="1278" w:type="dxa"/>
          </w:tcPr>
          <w:p w:rsidR="00F457E3" w:rsidRPr="001D6CAE" w:rsidRDefault="00B56EEC"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F457E3" w:rsidRPr="00BB2B7E" w:rsidRDefault="002B5EA9"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80" w:type="dxa"/>
          </w:tcPr>
          <w:p w:rsidR="00F457E3" w:rsidRPr="00BB2B7E" w:rsidRDefault="00F01387" w:rsidP="00F457E3">
            <w:pPr>
              <w:pStyle w:val="ConsPlusNormal"/>
              <w:contextualSpacing/>
              <w:jc w:val="center"/>
              <w:rPr>
                <w:rFonts w:ascii="Times New Roman" w:hAnsi="Times New Roman" w:cs="Times New Roman"/>
                <w:sz w:val="18"/>
                <w:szCs w:val="18"/>
              </w:rPr>
            </w:pPr>
            <w:r w:rsidRPr="00BB2B7E">
              <w:rPr>
                <w:rFonts w:ascii="Times New Roman" w:hAnsi="Times New Roman" w:cs="Times New Roman"/>
                <w:sz w:val="18"/>
                <w:szCs w:val="18"/>
              </w:rPr>
              <w:t>1</w:t>
            </w:r>
            <w:r w:rsidR="00EC4797" w:rsidRPr="00BB2B7E">
              <w:rPr>
                <w:rFonts w:ascii="Times New Roman" w:hAnsi="Times New Roman" w:cs="Times New Roman"/>
                <w:sz w:val="18"/>
                <w:szCs w:val="18"/>
              </w:rPr>
              <w:t>,00</w:t>
            </w:r>
          </w:p>
        </w:tc>
        <w:tc>
          <w:tcPr>
            <w:tcW w:w="1134" w:type="dxa"/>
          </w:tcPr>
          <w:p w:rsidR="00F457E3" w:rsidRPr="001D6CAE" w:rsidRDefault="00F457E3"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2B5EA9" w:rsidRPr="001D6CAE" w:rsidTr="00652EC1">
        <w:trPr>
          <w:trHeight w:val="20"/>
        </w:trPr>
        <w:tc>
          <w:tcPr>
            <w:tcW w:w="488" w:type="dxa"/>
          </w:tcPr>
          <w:p w:rsidR="002B5EA9" w:rsidRPr="001D6CAE" w:rsidRDefault="002B5EA9" w:rsidP="00F457E3">
            <w:pPr>
              <w:pStyle w:val="ConsPlusNormal"/>
              <w:contextualSpacing/>
              <w:rPr>
                <w:rFonts w:ascii="Times New Roman" w:hAnsi="Times New Roman" w:cs="Times New Roman"/>
                <w:sz w:val="18"/>
                <w:szCs w:val="18"/>
              </w:rPr>
            </w:pPr>
          </w:p>
        </w:tc>
        <w:tc>
          <w:tcPr>
            <w:tcW w:w="1781" w:type="dxa"/>
          </w:tcPr>
          <w:p w:rsidR="002B5EA9" w:rsidRPr="00840050" w:rsidRDefault="002B5EA9" w:rsidP="00F457E3">
            <w:pPr>
              <w:pStyle w:val="ConsPlusNormal"/>
              <w:ind w:left="79"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Мероприятие 5. 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1276" w:type="dxa"/>
            <w:tcBorders>
              <w:bottom w:val="single" w:sz="4" w:space="0" w:color="auto"/>
            </w:tcBorders>
          </w:tcPr>
          <w:p w:rsidR="002B5EA9" w:rsidRPr="002B5EA9" w:rsidRDefault="002B5EA9" w:rsidP="002B5EA9">
            <w:pPr>
              <w:pStyle w:val="ConsPlusNormal"/>
              <w:rPr>
                <w:rFonts w:ascii="Times New Roman" w:hAnsi="Times New Roman"/>
                <w:b/>
                <w:bCs/>
                <w:sz w:val="18"/>
                <w:szCs w:val="18"/>
              </w:rPr>
            </w:pPr>
            <w:r>
              <w:rPr>
                <w:rFonts w:ascii="Times New Roman" w:hAnsi="Times New Roman"/>
                <w:b/>
                <w:bCs/>
                <w:sz w:val="18"/>
                <w:szCs w:val="18"/>
              </w:rPr>
              <w:t xml:space="preserve">   </w:t>
            </w:r>
            <w:r w:rsidRPr="002B5EA9">
              <w:rPr>
                <w:rFonts w:ascii="Times New Roman" w:hAnsi="Times New Roman"/>
                <w:b/>
                <w:bCs/>
                <w:sz w:val="18"/>
                <w:szCs w:val="18"/>
              </w:rPr>
              <w:t>Индикатор</w:t>
            </w:r>
          </w:p>
          <w:p w:rsidR="002B5EA9" w:rsidRPr="002B5EA9" w:rsidRDefault="002B5EA9" w:rsidP="009C09FB">
            <w:pPr>
              <w:pStyle w:val="ConsPlusNormal"/>
              <w:ind w:right="-19"/>
              <w:contextualSpacing/>
              <w:jc w:val="center"/>
              <w:rPr>
                <w:rFonts w:ascii="Times New Roman" w:hAnsi="Times New Roman" w:cs="Times New Roman"/>
                <w:sz w:val="18"/>
                <w:szCs w:val="18"/>
              </w:rPr>
            </w:pPr>
            <w:r w:rsidRPr="002B5EA9">
              <w:rPr>
                <w:rFonts w:ascii="Times New Roman" w:hAnsi="Times New Roman" w:cs="Times New Roman"/>
                <w:sz w:val="18"/>
                <w:szCs w:val="18"/>
              </w:rPr>
              <w:t>Доля муниципальных образовательных организаций, оснащенных средствами обучения безопасному поведению на дорогах</w:t>
            </w:r>
          </w:p>
        </w:tc>
        <w:tc>
          <w:tcPr>
            <w:tcW w:w="1134"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w:t>
            </w:r>
          </w:p>
        </w:tc>
        <w:tc>
          <w:tcPr>
            <w:tcW w:w="708"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851"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134"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1,00</w:t>
            </w:r>
          </w:p>
        </w:tc>
        <w:tc>
          <w:tcPr>
            <w:tcW w:w="1214"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25 000,00</w:t>
            </w:r>
          </w:p>
        </w:tc>
        <w:tc>
          <w:tcPr>
            <w:tcW w:w="1137"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1"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25 000,00</w:t>
            </w:r>
          </w:p>
        </w:tc>
        <w:tc>
          <w:tcPr>
            <w:tcW w:w="1278" w:type="dxa"/>
          </w:tcPr>
          <w:p w:rsidR="002B5EA9" w:rsidRDefault="0018168F"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0</w:t>
            </w:r>
          </w:p>
        </w:tc>
        <w:tc>
          <w:tcPr>
            <w:tcW w:w="1134" w:type="dxa"/>
          </w:tcPr>
          <w:p w:rsidR="002B5EA9" w:rsidRDefault="003B714E" w:rsidP="00F457E3">
            <w:pPr>
              <w:pStyle w:val="ConsPlusNormal"/>
              <w:ind w:left="79" w:right="-19"/>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280" w:type="dxa"/>
          </w:tcPr>
          <w:p w:rsidR="002B5EA9" w:rsidRPr="00BB2B7E" w:rsidRDefault="003B714E"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1,0</w:t>
            </w:r>
          </w:p>
        </w:tc>
        <w:tc>
          <w:tcPr>
            <w:tcW w:w="1134" w:type="dxa"/>
          </w:tcPr>
          <w:p w:rsidR="002B5EA9" w:rsidRDefault="003B714E" w:rsidP="00F457E3">
            <w:pPr>
              <w:pStyle w:val="ConsPlusNormal"/>
              <w:contextualSpacing/>
              <w:jc w:val="center"/>
              <w:rPr>
                <w:rFonts w:ascii="Times New Roman" w:hAnsi="Times New Roman" w:cs="Times New Roman"/>
                <w:sz w:val="18"/>
                <w:szCs w:val="18"/>
              </w:rPr>
            </w:pPr>
            <w:r>
              <w:rPr>
                <w:rFonts w:ascii="Times New Roman" w:hAnsi="Times New Roman" w:cs="Times New Roman"/>
                <w:sz w:val="18"/>
                <w:szCs w:val="18"/>
              </w:rPr>
              <w:t>х</w:t>
            </w:r>
          </w:p>
        </w:tc>
      </w:tr>
      <w:tr w:rsidR="00F457E3" w:rsidRPr="00FC7260" w:rsidTr="00652EC1">
        <w:trPr>
          <w:trHeight w:val="379"/>
        </w:trPr>
        <w:tc>
          <w:tcPr>
            <w:tcW w:w="488" w:type="dxa"/>
          </w:tcPr>
          <w:p w:rsidR="00F457E3" w:rsidRPr="00FC7260" w:rsidRDefault="00F457E3" w:rsidP="00F457E3">
            <w:pPr>
              <w:pStyle w:val="ConsPlusNormal"/>
              <w:contextualSpacing/>
              <w:rPr>
                <w:rFonts w:ascii="Times New Roman" w:hAnsi="Times New Roman" w:cs="Times New Roman"/>
                <w:sz w:val="18"/>
                <w:szCs w:val="18"/>
              </w:rPr>
            </w:pPr>
          </w:p>
        </w:tc>
        <w:tc>
          <w:tcPr>
            <w:tcW w:w="1781" w:type="dxa"/>
            <w:vAlign w:val="bottom"/>
          </w:tcPr>
          <w:p w:rsidR="00F457E3" w:rsidRPr="00FC7260" w:rsidRDefault="00F457E3" w:rsidP="00F457E3">
            <w:pPr>
              <w:pStyle w:val="ConsPlusNormal"/>
              <w:ind w:left="79" w:right="-19"/>
              <w:contextualSpacing/>
              <w:jc w:val="center"/>
              <w:rPr>
                <w:b/>
              </w:rPr>
            </w:pPr>
            <w:r w:rsidRPr="00FC7260">
              <w:rPr>
                <w:rFonts w:ascii="Times New Roman" w:hAnsi="Times New Roman" w:cs="Times New Roman"/>
                <w:b/>
                <w:sz w:val="18"/>
                <w:szCs w:val="18"/>
              </w:rPr>
              <w:t xml:space="preserve">Эффективность реализации ОМ  </w:t>
            </w:r>
          </w:p>
          <w:p w:rsidR="00F457E3" w:rsidRPr="00FC7260" w:rsidRDefault="00F457E3" w:rsidP="00F457E3">
            <w:pPr>
              <w:pStyle w:val="ConsPlusNormal"/>
              <w:ind w:left="79" w:right="-19"/>
              <w:contextualSpacing/>
              <w:jc w:val="center"/>
              <w:rPr>
                <w:rFonts w:ascii="Times New Roman" w:hAnsi="Times New Roman" w:cs="Times New Roman"/>
                <w:sz w:val="18"/>
                <w:szCs w:val="18"/>
              </w:rPr>
            </w:pPr>
          </w:p>
        </w:tc>
        <w:tc>
          <w:tcPr>
            <w:tcW w:w="1276" w:type="dxa"/>
            <w:tcBorders>
              <w:top w:val="single" w:sz="4" w:space="0" w:color="auto"/>
            </w:tcBorders>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FC7260" w:rsidRDefault="00F457E3" w:rsidP="00F457E3">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457E3" w:rsidRPr="00FC7260" w:rsidRDefault="00F457E3" w:rsidP="00F457E3">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457E3" w:rsidRPr="00BB2B7E" w:rsidRDefault="001139A4" w:rsidP="00F457E3">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FF2285" w:rsidRPr="00FC7260" w:rsidTr="00652EC1">
        <w:trPr>
          <w:trHeight w:val="379"/>
        </w:trPr>
        <w:tc>
          <w:tcPr>
            <w:tcW w:w="488" w:type="dxa"/>
          </w:tcPr>
          <w:p w:rsidR="00FF2285" w:rsidRPr="00FC7260" w:rsidRDefault="00FF2285" w:rsidP="00FF2285">
            <w:pPr>
              <w:pStyle w:val="ConsPlusNormal"/>
              <w:contextualSpacing/>
              <w:rPr>
                <w:rFonts w:ascii="Times New Roman" w:hAnsi="Times New Roman" w:cs="Times New Roman"/>
                <w:sz w:val="18"/>
                <w:szCs w:val="18"/>
              </w:rPr>
            </w:pPr>
          </w:p>
        </w:tc>
        <w:tc>
          <w:tcPr>
            <w:tcW w:w="1781" w:type="dxa"/>
            <w:vAlign w:val="bottom"/>
          </w:tcPr>
          <w:p w:rsidR="00FF2285" w:rsidRPr="00FC7260" w:rsidRDefault="00FF2285" w:rsidP="00FF2285">
            <w:pPr>
              <w:pStyle w:val="ConsPlusNormal"/>
              <w:ind w:left="79" w:right="-19"/>
              <w:contextualSpacing/>
              <w:jc w:val="center"/>
              <w:rPr>
                <w:rFonts w:ascii="Times New Roman" w:hAnsi="Times New Roman" w:cs="Times New Roman"/>
                <w:b/>
                <w:sz w:val="18"/>
                <w:szCs w:val="18"/>
              </w:rPr>
            </w:pPr>
            <w:r w:rsidRPr="00FC7260">
              <w:rPr>
                <w:rFonts w:ascii="Times New Roman" w:hAnsi="Times New Roman" w:cs="Times New Roman"/>
                <w:b/>
                <w:sz w:val="18"/>
                <w:szCs w:val="18"/>
              </w:rPr>
              <w:t>Эффективность реализации</w:t>
            </w:r>
            <w:r w:rsidR="00EC4797">
              <w:rPr>
                <w:rFonts w:ascii="Times New Roman" w:hAnsi="Times New Roman" w:cs="Times New Roman"/>
                <w:b/>
                <w:sz w:val="18"/>
                <w:szCs w:val="18"/>
              </w:rPr>
              <w:t xml:space="preserve"> подпрограммы</w:t>
            </w:r>
          </w:p>
        </w:tc>
        <w:tc>
          <w:tcPr>
            <w:tcW w:w="1276"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70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85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1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7"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1"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78"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FC7260" w:rsidRDefault="00FF2285" w:rsidP="00FF2285">
            <w:pPr>
              <w:pStyle w:val="ConsPlusNormal"/>
              <w:ind w:left="79" w:right="-19"/>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280" w:type="dxa"/>
          </w:tcPr>
          <w:p w:rsidR="00FF2285" w:rsidRPr="00FC7260" w:rsidRDefault="00FF2285" w:rsidP="00FF2285">
            <w:pPr>
              <w:pStyle w:val="ConsPlusNormal"/>
              <w:contextualSpacing/>
              <w:jc w:val="center"/>
              <w:rPr>
                <w:rFonts w:ascii="Times New Roman" w:hAnsi="Times New Roman" w:cs="Times New Roman"/>
                <w:sz w:val="18"/>
                <w:szCs w:val="18"/>
              </w:rPr>
            </w:pPr>
            <w:r w:rsidRPr="00FC7260">
              <w:rPr>
                <w:rFonts w:ascii="Times New Roman" w:hAnsi="Times New Roman" w:cs="Times New Roman"/>
                <w:sz w:val="18"/>
                <w:szCs w:val="18"/>
              </w:rPr>
              <w:t>x</w:t>
            </w:r>
          </w:p>
        </w:tc>
        <w:tc>
          <w:tcPr>
            <w:tcW w:w="1134" w:type="dxa"/>
          </w:tcPr>
          <w:p w:rsidR="00FF2285" w:rsidRPr="00BB2B7E" w:rsidRDefault="001139A4" w:rsidP="00FF2285">
            <w:pPr>
              <w:pStyle w:val="ConsPlusNormal"/>
              <w:contextualSpacing/>
              <w:jc w:val="center"/>
              <w:rPr>
                <w:rFonts w:ascii="Times New Roman" w:hAnsi="Times New Roman" w:cs="Times New Roman"/>
                <w:b/>
                <w:sz w:val="18"/>
                <w:szCs w:val="18"/>
              </w:rPr>
            </w:pPr>
            <w:r w:rsidRPr="00BB2B7E">
              <w:rPr>
                <w:rFonts w:ascii="Times New Roman" w:hAnsi="Times New Roman" w:cs="Times New Roman"/>
                <w:b/>
                <w:sz w:val="18"/>
                <w:szCs w:val="18"/>
              </w:rPr>
              <w:t>100</w:t>
            </w:r>
            <w:r w:rsidR="00EC4797" w:rsidRPr="00BB2B7E">
              <w:rPr>
                <w:rFonts w:ascii="Times New Roman" w:hAnsi="Times New Roman" w:cs="Times New Roman"/>
                <w:b/>
                <w:sz w:val="18"/>
                <w:szCs w:val="18"/>
              </w:rPr>
              <w:t>,00</w:t>
            </w:r>
          </w:p>
        </w:tc>
      </w:tr>
      <w:tr w:rsidR="00076ABE" w:rsidRPr="00FC7260" w:rsidTr="00BB2B7E">
        <w:trPr>
          <w:trHeight w:val="379"/>
        </w:trPr>
        <w:tc>
          <w:tcPr>
            <w:tcW w:w="488" w:type="dxa"/>
          </w:tcPr>
          <w:p w:rsidR="00076ABE" w:rsidRPr="00FC7260" w:rsidRDefault="00076ABE" w:rsidP="003A79B3">
            <w:pPr>
              <w:pStyle w:val="ConsPlusNormal"/>
              <w:contextualSpacing/>
              <w:rPr>
                <w:rFonts w:ascii="Times New Roman" w:hAnsi="Times New Roman" w:cs="Times New Roman"/>
                <w:sz w:val="18"/>
                <w:szCs w:val="18"/>
              </w:rPr>
            </w:pPr>
          </w:p>
        </w:tc>
        <w:tc>
          <w:tcPr>
            <w:tcW w:w="14058" w:type="dxa"/>
            <w:gridSpan w:val="12"/>
            <w:vAlign w:val="bottom"/>
          </w:tcPr>
          <w:p w:rsidR="00076ABE" w:rsidRPr="00B92D19" w:rsidRDefault="00076ABE" w:rsidP="00076ABE">
            <w:pPr>
              <w:pStyle w:val="ConsPlusNormal"/>
              <w:contextualSpacing/>
              <w:rPr>
                <w:rFonts w:ascii="Times New Roman" w:hAnsi="Times New Roman" w:cs="Times New Roman"/>
                <w:b/>
                <w:sz w:val="18"/>
                <w:szCs w:val="18"/>
              </w:rPr>
            </w:pPr>
            <w:r w:rsidRPr="00B92D19">
              <w:rPr>
                <w:rFonts w:ascii="Times New Roman" w:hAnsi="Times New Roman" w:cs="Times New Roman"/>
                <w:b/>
                <w:sz w:val="18"/>
                <w:szCs w:val="18"/>
              </w:rPr>
              <w:t>Эффективность реализации муниципальной программы по целевым индикаторам (5)</w:t>
            </w:r>
          </w:p>
        </w:tc>
        <w:tc>
          <w:tcPr>
            <w:tcW w:w="1134" w:type="dxa"/>
          </w:tcPr>
          <w:p w:rsidR="00076ABE" w:rsidRPr="006A5D54" w:rsidRDefault="00FD5324" w:rsidP="003A79B3">
            <w:pPr>
              <w:pStyle w:val="ConsPlusNormal"/>
              <w:contextualSpacing/>
              <w:jc w:val="center"/>
              <w:rPr>
                <w:rFonts w:ascii="Times New Roman" w:hAnsi="Times New Roman" w:cs="Times New Roman"/>
                <w:b/>
                <w:sz w:val="18"/>
                <w:szCs w:val="18"/>
                <w:highlight w:val="yellow"/>
              </w:rPr>
            </w:pPr>
            <w:r w:rsidRPr="00BB2B7E">
              <w:rPr>
                <w:rFonts w:ascii="Times New Roman" w:hAnsi="Times New Roman" w:cs="Times New Roman"/>
                <w:b/>
                <w:sz w:val="18"/>
                <w:szCs w:val="18"/>
              </w:rPr>
              <w:t>100</w:t>
            </w:r>
            <w:r w:rsidR="00892B4D" w:rsidRPr="00BB2B7E">
              <w:rPr>
                <w:rFonts w:ascii="Times New Roman" w:hAnsi="Times New Roman" w:cs="Times New Roman"/>
                <w:b/>
                <w:sz w:val="18"/>
                <w:szCs w:val="18"/>
              </w:rPr>
              <w:t>,00</w:t>
            </w:r>
          </w:p>
        </w:tc>
      </w:tr>
    </w:tbl>
    <w:p w:rsidR="00652EC1" w:rsidRDefault="00652EC1" w:rsidP="003B714E">
      <w:pPr>
        <w:pStyle w:val="ConsPlusNormal"/>
        <w:contextualSpacing/>
        <w:rPr>
          <w:rFonts w:ascii="Times New Roman" w:hAnsi="Times New Roman"/>
        </w:rPr>
      </w:pPr>
    </w:p>
    <w:p w:rsidR="00652EC1" w:rsidRDefault="00652EC1" w:rsidP="005A3030">
      <w:pPr>
        <w:pStyle w:val="ConsPlusNormal"/>
        <w:ind w:firstLine="540"/>
        <w:contextualSpacing/>
        <w:jc w:val="center"/>
        <w:rPr>
          <w:rFonts w:ascii="Times New Roman" w:hAnsi="Times New Roman"/>
        </w:rPr>
      </w:pP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2. Расчет степени достижения плановых значений ожидаемых</w:t>
      </w:r>
    </w:p>
    <w:p w:rsidR="005A3030" w:rsidRPr="005A3030" w:rsidRDefault="005A3030" w:rsidP="005A3030">
      <w:pPr>
        <w:pStyle w:val="ConsPlusNormal"/>
        <w:ind w:firstLine="540"/>
        <w:contextualSpacing/>
        <w:jc w:val="center"/>
        <w:rPr>
          <w:rFonts w:ascii="Times New Roman" w:hAnsi="Times New Roman"/>
        </w:rPr>
      </w:pPr>
      <w:r w:rsidRPr="005A3030">
        <w:rPr>
          <w:rFonts w:ascii="Times New Roman" w:hAnsi="Times New Roman"/>
        </w:rPr>
        <w:t>результатов реализации муниципальной программы</w:t>
      </w:r>
    </w:p>
    <w:p w:rsidR="005057B3"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«Формирование законопослушного поведения участников дорожного движения</w:t>
      </w:r>
    </w:p>
    <w:p w:rsidR="005A3030" w:rsidRPr="00892B4D" w:rsidRDefault="00892B4D" w:rsidP="00892B4D">
      <w:pPr>
        <w:pStyle w:val="ConsPlusNormal"/>
        <w:ind w:firstLine="540"/>
        <w:contextualSpacing/>
        <w:jc w:val="center"/>
        <w:rPr>
          <w:rFonts w:ascii="Times New Roman" w:hAnsi="Times New Roman"/>
          <w:bCs/>
        </w:rPr>
      </w:pPr>
      <w:r w:rsidRPr="00892B4D">
        <w:rPr>
          <w:rFonts w:ascii="Times New Roman" w:hAnsi="Times New Roman"/>
          <w:bCs/>
        </w:rPr>
        <w:t xml:space="preserve"> в Таврическом муниципальном районе Омской </w:t>
      </w:r>
      <w:proofErr w:type="gramStart"/>
      <w:r w:rsidRPr="00892B4D">
        <w:rPr>
          <w:rFonts w:ascii="Times New Roman" w:hAnsi="Times New Roman"/>
          <w:bCs/>
        </w:rPr>
        <w:t>области  на</w:t>
      </w:r>
      <w:proofErr w:type="gramEnd"/>
      <w:r w:rsidRPr="00892B4D">
        <w:rPr>
          <w:rFonts w:ascii="Times New Roman" w:hAnsi="Times New Roman"/>
          <w:bCs/>
        </w:rPr>
        <w:t xml:space="preserve"> 2019-2024 годы»</w:t>
      </w:r>
      <w:r>
        <w:rPr>
          <w:rFonts w:ascii="Times New Roman" w:hAnsi="Times New Roman"/>
          <w:bCs/>
        </w:rPr>
        <w:t xml:space="preserve"> </w:t>
      </w:r>
      <w:r w:rsidR="00CF493C" w:rsidRPr="00CF493C">
        <w:rPr>
          <w:rFonts w:ascii="Times New Roman" w:hAnsi="Times New Roman"/>
        </w:rPr>
        <w:t>за 20</w:t>
      </w:r>
      <w:r w:rsidR="006A5D54">
        <w:rPr>
          <w:rFonts w:ascii="Times New Roman" w:hAnsi="Times New Roman"/>
        </w:rPr>
        <w:t>2</w:t>
      </w:r>
      <w:r w:rsidR="00FA7E2E">
        <w:rPr>
          <w:rFonts w:ascii="Times New Roman" w:hAnsi="Times New Roman"/>
        </w:rPr>
        <w:t>2</w:t>
      </w:r>
      <w:r w:rsidR="00CF493C" w:rsidRPr="00CF493C">
        <w:rPr>
          <w:rFonts w:ascii="Times New Roman" w:hAnsi="Times New Roman"/>
        </w:rPr>
        <w:t xml:space="preserve"> год</w:t>
      </w:r>
      <w:r w:rsidR="005A3030" w:rsidRPr="005A3030">
        <w:rPr>
          <w:rFonts w:ascii="Times New Roman" w:hAnsi="Times New Roman"/>
        </w:rPr>
        <w:t>:</w:t>
      </w:r>
    </w:p>
    <w:p w:rsidR="005A3030" w:rsidRPr="005A3030" w:rsidRDefault="005A3030" w:rsidP="005A3030">
      <w:pPr>
        <w:pStyle w:val="ConsPlusNormal"/>
        <w:ind w:firstLine="540"/>
        <w:contextualSpacing/>
        <w:jc w:val="both"/>
        <w:rPr>
          <w:rFonts w:ascii="Times New Roman" w:hAnsi="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74"/>
        <w:gridCol w:w="3515"/>
        <w:gridCol w:w="1417"/>
        <w:gridCol w:w="2041"/>
        <w:gridCol w:w="2041"/>
        <w:gridCol w:w="4446"/>
      </w:tblGrid>
      <w:tr w:rsidR="00CF493C" w:rsidRPr="005A3030" w:rsidTr="00C936B8">
        <w:tc>
          <w:tcPr>
            <w:tcW w:w="574"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N п/п</w:t>
            </w:r>
          </w:p>
        </w:tc>
        <w:tc>
          <w:tcPr>
            <w:tcW w:w="3515"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Наименование ожидаемого результата реализации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Единица измерения</w:t>
            </w:r>
          </w:p>
        </w:tc>
        <w:tc>
          <w:tcPr>
            <w:tcW w:w="4082" w:type="dxa"/>
            <w:gridSpan w:val="2"/>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Значение ожидаемого результата реализации муниципальной программы (подпрограммы)</w:t>
            </w:r>
          </w:p>
        </w:tc>
        <w:tc>
          <w:tcPr>
            <w:tcW w:w="4446" w:type="dxa"/>
            <w:vMerge w:val="restart"/>
            <w:tcBorders>
              <w:top w:val="single" w:sz="4" w:space="0" w:color="auto"/>
              <w:left w:val="single" w:sz="4" w:space="0" w:color="auto"/>
              <w:right w:val="single" w:sz="4" w:space="0" w:color="auto"/>
            </w:tcBorders>
          </w:tcPr>
          <w:p w:rsidR="00CF493C" w:rsidRPr="005A3030" w:rsidRDefault="00CF493C" w:rsidP="00CF493C">
            <w:pPr>
              <w:pStyle w:val="ConsPlusNormal"/>
              <w:contextualSpacing/>
              <w:jc w:val="center"/>
              <w:rPr>
                <w:rFonts w:ascii="Times New Roman" w:hAnsi="Times New Roman"/>
              </w:rPr>
            </w:pPr>
            <w:r w:rsidRPr="005A3030">
              <w:rPr>
                <w:rFonts w:ascii="Times New Roman" w:hAnsi="Times New Roman"/>
              </w:rPr>
              <w:t xml:space="preserve">Степень достижения планового значения ожидаемого результата реализации муниципальной программы (подпрограммы) </w:t>
            </w:r>
            <w:hyperlink w:anchor="Par278" w:history="1">
              <w:r w:rsidRPr="005A3030">
                <w:rPr>
                  <w:rStyle w:val="a5"/>
                  <w:rFonts w:ascii="Times New Roman" w:hAnsi="Times New Roman"/>
                </w:rPr>
                <w:t>&lt;7&gt;</w:t>
              </w:r>
            </w:hyperlink>
          </w:p>
        </w:tc>
      </w:tr>
      <w:tr w:rsidR="00CF493C" w:rsidRPr="005A3030" w:rsidTr="00C936B8">
        <w:tc>
          <w:tcPr>
            <w:tcW w:w="574"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3515"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1417" w:type="dxa"/>
            <w:vMerge/>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План</w:t>
            </w:r>
          </w:p>
        </w:tc>
        <w:tc>
          <w:tcPr>
            <w:tcW w:w="2041" w:type="dxa"/>
            <w:tcBorders>
              <w:top w:val="single" w:sz="4" w:space="0" w:color="auto"/>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r w:rsidRPr="005A3030">
              <w:rPr>
                <w:rFonts w:ascii="Times New Roman" w:hAnsi="Times New Roman"/>
              </w:rPr>
              <w:t>Факт</w:t>
            </w:r>
          </w:p>
        </w:tc>
        <w:tc>
          <w:tcPr>
            <w:tcW w:w="4446" w:type="dxa"/>
            <w:vMerge/>
            <w:tcBorders>
              <w:left w:val="single" w:sz="4" w:space="0" w:color="auto"/>
              <w:bottom w:val="single" w:sz="4" w:space="0" w:color="auto"/>
              <w:right w:val="single" w:sz="4" w:space="0" w:color="auto"/>
            </w:tcBorders>
          </w:tcPr>
          <w:p w:rsidR="00CF493C" w:rsidRPr="005A3030" w:rsidRDefault="00CF493C" w:rsidP="00CF493C">
            <w:pPr>
              <w:pStyle w:val="ConsPlusNormal"/>
              <w:ind w:firstLine="540"/>
              <w:contextualSpacing/>
              <w:jc w:val="center"/>
              <w:rPr>
                <w:rFonts w:ascii="Times New Roman" w:hAnsi="Times New Roman"/>
              </w:rPr>
            </w:pP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contextualSpacing/>
              <w:jc w:val="center"/>
              <w:rPr>
                <w:rFonts w:ascii="Times New Roman" w:hAnsi="Times New Roman"/>
              </w:rPr>
            </w:pPr>
            <w:r w:rsidRPr="005A3030">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3</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4</w:t>
            </w:r>
          </w:p>
        </w:tc>
        <w:tc>
          <w:tcPr>
            <w:tcW w:w="2041" w:type="dxa"/>
            <w:tcBorders>
              <w:top w:val="single" w:sz="4" w:space="0" w:color="auto"/>
              <w:left w:val="single" w:sz="4" w:space="0" w:color="auto"/>
              <w:bottom w:val="single" w:sz="4" w:space="0" w:color="auto"/>
              <w:right w:val="single" w:sz="4" w:space="0" w:color="auto"/>
            </w:tcBorders>
            <w:vAlign w:val="center"/>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5</w:t>
            </w:r>
          </w:p>
        </w:tc>
        <w:tc>
          <w:tcPr>
            <w:tcW w:w="4446" w:type="dxa"/>
            <w:tcBorders>
              <w:top w:val="single" w:sz="4" w:space="0" w:color="auto"/>
              <w:left w:val="single" w:sz="4" w:space="0" w:color="auto"/>
              <w:bottom w:val="single" w:sz="4" w:space="0" w:color="auto"/>
              <w:right w:val="single" w:sz="4" w:space="0" w:color="auto"/>
            </w:tcBorders>
            <w:vAlign w:val="bottom"/>
          </w:tcPr>
          <w:p w:rsidR="005A3030" w:rsidRPr="005A3030" w:rsidRDefault="005A3030" w:rsidP="000843EE">
            <w:pPr>
              <w:pStyle w:val="ConsPlusNormal"/>
              <w:ind w:firstLine="540"/>
              <w:contextualSpacing/>
              <w:jc w:val="center"/>
              <w:rPr>
                <w:rFonts w:ascii="Times New Roman" w:hAnsi="Times New Roman"/>
              </w:rPr>
            </w:pPr>
            <w:r w:rsidRPr="005A3030">
              <w:rPr>
                <w:rFonts w:ascii="Times New Roman" w:hAnsi="Times New Roman"/>
              </w:rPr>
              <w:t>6</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057B3" w:rsidRPr="005057B3" w:rsidRDefault="005A3030" w:rsidP="005057B3">
            <w:pPr>
              <w:pStyle w:val="ConsPlusNormal"/>
              <w:ind w:firstLine="540"/>
              <w:contextualSpacing/>
              <w:jc w:val="center"/>
              <w:rPr>
                <w:rFonts w:ascii="Times New Roman" w:hAnsi="Times New Roman"/>
                <w:bCs/>
              </w:rPr>
            </w:pPr>
            <w:r w:rsidRPr="005A3030">
              <w:rPr>
                <w:rFonts w:ascii="Times New Roman" w:hAnsi="Times New Roman"/>
              </w:rPr>
              <w:t>Муниципальная программа</w:t>
            </w:r>
            <w:r w:rsidR="000843EE">
              <w:rPr>
                <w:rFonts w:ascii="Times New Roman" w:hAnsi="Times New Roman"/>
              </w:rPr>
              <w:t xml:space="preserve"> </w:t>
            </w:r>
            <w:r w:rsidR="005057B3" w:rsidRPr="005057B3">
              <w:rPr>
                <w:rFonts w:ascii="Times New Roman" w:hAnsi="Times New Roman"/>
                <w:bCs/>
              </w:rPr>
              <w:t>«Формирование законопослушного поведения участников дорожного движения</w:t>
            </w:r>
          </w:p>
          <w:p w:rsidR="005A3030" w:rsidRPr="005A3030" w:rsidRDefault="005057B3" w:rsidP="005057B3">
            <w:pPr>
              <w:pStyle w:val="ConsPlusNormal"/>
              <w:ind w:firstLine="540"/>
              <w:contextualSpacing/>
              <w:jc w:val="center"/>
              <w:rPr>
                <w:rFonts w:ascii="Times New Roman" w:hAnsi="Times New Roman"/>
              </w:rPr>
            </w:pPr>
            <w:r w:rsidRPr="005057B3">
              <w:rPr>
                <w:rFonts w:ascii="Times New Roman" w:hAnsi="Times New Roman"/>
                <w:bCs/>
              </w:rPr>
              <w:t xml:space="preserve">в Таврическом муниципальном районе Омской </w:t>
            </w:r>
            <w:proofErr w:type="gramStart"/>
            <w:r w:rsidRPr="005057B3">
              <w:rPr>
                <w:rFonts w:ascii="Times New Roman" w:hAnsi="Times New Roman"/>
                <w:bCs/>
              </w:rPr>
              <w:t>области  на</w:t>
            </w:r>
            <w:proofErr w:type="gramEnd"/>
            <w:r w:rsidRPr="005057B3">
              <w:rPr>
                <w:rFonts w:ascii="Times New Roman" w:hAnsi="Times New Roman"/>
                <w:bCs/>
              </w:rPr>
              <w:t xml:space="preserve"> 2019-2024 годы»</w:t>
            </w:r>
          </w:p>
        </w:tc>
      </w:tr>
      <w:tr w:rsidR="005A3030" w:rsidRPr="005A3030" w:rsidTr="00C936B8">
        <w:tc>
          <w:tcPr>
            <w:tcW w:w="574" w:type="dxa"/>
            <w:tcBorders>
              <w:top w:val="single" w:sz="4" w:space="0" w:color="auto"/>
              <w:left w:val="single" w:sz="4" w:space="0" w:color="auto"/>
              <w:bottom w:val="single" w:sz="4" w:space="0" w:color="auto"/>
              <w:right w:val="single" w:sz="4" w:space="0" w:color="auto"/>
            </w:tcBorders>
            <w:vAlign w:val="bottom"/>
          </w:tcPr>
          <w:p w:rsidR="005A3030" w:rsidRPr="005A3030" w:rsidRDefault="00404789" w:rsidP="005A3030">
            <w:pPr>
              <w:pStyle w:val="ConsPlusNormal"/>
              <w:ind w:firstLine="540"/>
              <w:contextualSpacing/>
              <w:jc w:val="both"/>
              <w:rPr>
                <w:rFonts w:ascii="Times New Roman" w:hAnsi="Times New Roman"/>
              </w:rPr>
            </w:pPr>
            <w:r>
              <w:rPr>
                <w:rFonts w:ascii="Times New Roman" w:hAnsi="Times New Roman"/>
              </w:rPr>
              <w:t>1</w:t>
            </w:r>
          </w:p>
        </w:tc>
        <w:tc>
          <w:tcPr>
            <w:tcW w:w="3515" w:type="dxa"/>
            <w:tcBorders>
              <w:top w:val="single" w:sz="4" w:space="0" w:color="auto"/>
              <w:left w:val="single" w:sz="4" w:space="0" w:color="auto"/>
              <w:bottom w:val="single" w:sz="4" w:space="0" w:color="auto"/>
              <w:right w:val="single" w:sz="4" w:space="0" w:color="auto"/>
            </w:tcBorders>
          </w:tcPr>
          <w:p w:rsidR="005057B3" w:rsidRDefault="005A3030" w:rsidP="00E35171">
            <w:pPr>
              <w:pStyle w:val="ConsPlusNormal"/>
              <w:contextualSpacing/>
              <w:jc w:val="both"/>
              <w:rPr>
                <w:rFonts w:ascii="Times New Roman" w:hAnsi="Times New Roman"/>
              </w:rPr>
            </w:pPr>
            <w:r w:rsidRPr="005A3030">
              <w:rPr>
                <w:rFonts w:ascii="Times New Roman" w:hAnsi="Times New Roman"/>
              </w:rPr>
              <w:t>Ожидаемый результат</w:t>
            </w:r>
            <w:r w:rsidR="00E35171">
              <w:rPr>
                <w:rFonts w:ascii="Times New Roman" w:hAnsi="Times New Roman"/>
              </w:rPr>
              <w:t>:</w:t>
            </w:r>
            <w:r w:rsidRPr="005A3030">
              <w:rPr>
                <w:rFonts w:ascii="Times New Roman" w:hAnsi="Times New Roman"/>
              </w:rPr>
              <w:t xml:space="preserve"> </w:t>
            </w:r>
          </w:p>
          <w:p w:rsidR="005A3030" w:rsidRPr="005A3030" w:rsidRDefault="005057B3" w:rsidP="00E35171">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A3030" w:rsidRPr="005A3030" w:rsidRDefault="005057B3" w:rsidP="006F2BF9">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6B1CB8" w:rsidP="005A3030">
            <w:pPr>
              <w:pStyle w:val="ConsPlusNormal"/>
              <w:ind w:firstLine="540"/>
              <w:contextualSpacing/>
              <w:jc w:val="both"/>
              <w:rPr>
                <w:rFonts w:ascii="Times New Roman" w:hAnsi="Times New Roman"/>
              </w:rPr>
            </w:pPr>
            <w:r>
              <w:rPr>
                <w:rFonts w:ascii="Times New Roman" w:hAnsi="Times New Roman"/>
              </w:rPr>
              <w:t>0,003</w:t>
            </w:r>
          </w:p>
        </w:tc>
        <w:tc>
          <w:tcPr>
            <w:tcW w:w="2041" w:type="dxa"/>
            <w:tcBorders>
              <w:top w:val="single" w:sz="4" w:space="0" w:color="auto"/>
              <w:left w:val="single" w:sz="4" w:space="0" w:color="auto"/>
              <w:bottom w:val="single" w:sz="4" w:space="0" w:color="auto"/>
              <w:right w:val="single" w:sz="4" w:space="0" w:color="auto"/>
            </w:tcBorders>
          </w:tcPr>
          <w:p w:rsidR="005A3030" w:rsidRPr="005A3030" w:rsidRDefault="005057B3" w:rsidP="005A3030">
            <w:pPr>
              <w:pStyle w:val="ConsPlusNormal"/>
              <w:ind w:firstLine="540"/>
              <w:contextualSpacing/>
              <w:jc w:val="both"/>
              <w:rPr>
                <w:rFonts w:ascii="Times New Roman" w:hAnsi="Times New Roman"/>
              </w:rPr>
            </w:pPr>
            <w:r>
              <w:rPr>
                <w:rFonts w:ascii="Times New Roman" w:hAnsi="Times New Roman"/>
              </w:rPr>
              <w:t>0,00</w:t>
            </w:r>
            <w:r w:rsidR="00FA7E2E">
              <w:rPr>
                <w:rFonts w:ascii="Times New Roman" w:hAnsi="Times New Roman"/>
              </w:rPr>
              <w:t>1</w:t>
            </w:r>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6B1CB8" w:rsidP="006F3D1A">
            <w:pPr>
              <w:pStyle w:val="ConsPlusNormal"/>
              <w:ind w:firstLine="540"/>
              <w:contextualSpacing/>
              <w:jc w:val="center"/>
              <w:rPr>
                <w:rFonts w:ascii="Times New Roman" w:hAnsi="Times New Roman"/>
              </w:rPr>
            </w:pPr>
            <w:r>
              <w:rPr>
                <w:rFonts w:ascii="Times New Roman" w:hAnsi="Times New Roman"/>
              </w:rPr>
              <w:t>1,0</w:t>
            </w:r>
          </w:p>
        </w:tc>
      </w:tr>
      <w:tr w:rsidR="006F3D1A"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6F3D1A" w:rsidRPr="005A3030" w:rsidRDefault="006F3D1A"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муниципальной программы </w:t>
            </w:r>
            <w:hyperlink w:anchor="Par279" w:history="1">
              <w:r w:rsidRPr="005A3030">
                <w:rPr>
                  <w:rStyle w:val="a5"/>
                  <w:rFonts w:ascii="Times New Roman" w:hAnsi="Times New Roman"/>
                </w:rPr>
                <w:t>&lt;8&gt;</w:t>
              </w:r>
            </w:hyperlink>
          </w:p>
        </w:tc>
        <w:tc>
          <w:tcPr>
            <w:tcW w:w="4446" w:type="dxa"/>
            <w:tcBorders>
              <w:top w:val="single" w:sz="4" w:space="0" w:color="auto"/>
              <w:left w:val="single" w:sz="4" w:space="0" w:color="auto"/>
              <w:bottom w:val="single" w:sz="4" w:space="0" w:color="auto"/>
              <w:right w:val="single" w:sz="4" w:space="0" w:color="auto"/>
            </w:tcBorders>
          </w:tcPr>
          <w:p w:rsidR="006F3D1A" w:rsidRPr="005A3030" w:rsidRDefault="006B1CB8" w:rsidP="006F3D1A">
            <w:pPr>
              <w:pStyle w:val="ConsPlusNormal"/>
              <w:ind w:firstLine="540"/>
              <w:contextualSpacing/>
              <w:jc w:val="center"/>
              <w:rPr>
                <w:rFonts w:ascii="Times New Roman" w:hAnsi="Times New Roman"/>
              </w:rPr>
            </w:pPr>
            <w:r>
              <w:rPr>
                <w:rFonts w:ascii="Times New Roman" w:hAnsi="Times New Roman"/>
              </w:rPr>
              <w:t>100</w:t>
            </w:r>
          </w:p>
        </w:tc>
      </w:tr>
      <w:tr w:rsidR="005A3030" w:rsidRPr="005A3030" w:rsidTr="00C936B8">
        <w:tc>
          <w:tcPr>
            <w:tcW w:w="14034" w:type="dxa"/>
            <w:gridSpan w:val="6"/>
            <w:tcBorders>
              <w:top w:val="single" w:sz="4" w:space="0" w:color="auto"/>
              <w:left w:val="single" w:sz="4" w:space="0" w:color="auto"/>
              <w:bottom w:val="single" w:sz="4" w:space="0" w:color="auto"/>
              <w:right w:val="single" w:sz="4" w:space="0" w:color="auto"/>
            </w:tcBorders>
          </w:tcPr>
          <w:p w:rsidR="005A3030" w:rsidRPr="005A3030" w:rsidRDefault="006F3D1A" w:rsidP="005A3030">
            <w:pPr>
              <w:pStyle w:val="ConsPlusNormal"/>
              <w:ind w:firstLine="540"/>
              <w:contextualSpacing/>
              <w:jc w:val="both"/>
              <w:rPr>
                <w:rFonts w:ascii="Times New Roman" w:hAnsi="Times New Roman"/>
              </w:rPr>
            </w:pPr>
            <w:r>
              <w:t xml:space="preserve">  </w:t>
            </w:r>
            <w:r w:rsidRPr="006F3D1A">
              <w:rPr>
                <w:rFonts w:ascii="Times New Roman" w:hAnsi="Times New Roman"/>
              </w:rPr>
              <w:t xml:space="preserve">Подпрограмма </w:t>
            </w:r>
            <w:r w:rsidR="005057B3" w:rsidRPr="005057B3">
              <w:rPr>
                <w:rFonts w:ascii="Times New Roman" w:hAnsi="Times New Roman"/>
                <w:bCs/>
              </w:rPr>
              <w:t>«Повышение безопасности дорожного движения»</w:t>
            </w:r>
          </w:p>
        </w:tc>
      </w:tr>
      <w:tr w:rsidR="005057B3" w:rsidRPr="005A3030" w:rsidTr="00C936B8">
        <w:tc>
          <w:tcPr>
            <w:tcW w:w="574"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p>
        </w:tc>
        <w:tc>
          <w:tcPr>
            <w:tcW w:w="3515" w:type="dxa"/>
            <w:tcBorders>
              <w:top w:val="single" w:sz="4" w:space="0" w:color="auto"/>
              <w:left w:val="single" w:sz="4" w:space="0" w:color="auto"/>
              <w:bottom w:val="single" w:sz="4" w:space="0" w:color="auto"/>
              <w:right w:val="single" w:sz="4" w:space="0" w:color="auto"/>
            </w:tcBorders>
          </w:tcPr>
          <w:p w:rsidR="005057B3" w:rsidRDefault="005057B3" w:rsidP="005057B3">
            <w:pPr>
              <w:pStyle w:val="ConsPlusNormal"/>
              <w:contextualSpacing/>
              <w:jc w:val="both"/>
              <w:rPr>
                <w:rFonts w:ascii="Times New Roman" w:hAnsi="Times New Roman"/>
              </w:rPr>
            </w:pPr>
            <w:r w:rsidRPr="005A3030">
              <w:rPr>
                <w:rFonts w:ascii="Times New Roman" w:hAnsi="Times New Roman"/>
              </w:rPr>
              <w:t>Ожидаемый результат</w:t>
            </w:r>
            <w:r>
              <w:rPr>
                <w:rFonts w:ascii="Times New Roman" w:hAnsi="Times New Roman"/>
              </w:rPr>
              <w:t>:</w:t>
            </w:r>
            <w:r w:rsidRPr="005A3030">
              <w:rPr>
                <w:rFonts w:ascii="Times New Roman" w:hAnsi="Times New Roman"/>
              </w:rPr>
              <w:t xml:space="preserve"> </w:t>
            </w:r>
          </w:p>
          <w:p w:rsidR="005057B3" w:rsidRPr="005A3030" w:rsidRDefault="005057B3" w:rsidP="005057B3">
            <w:pPr>
              <w:pStyle w:val="ConsPlusNormal"/>
              <w:contextualSpacing/>
              <w:jc w:val="both"/>
              <w:rPr>
                <w:rFonts w:ascii="Times New Roman" w:hAnsi="Times New Roman"/>
              </w:rPr>
            </w:pPr>
            <w:r>
              <w:rPr>
                <w:rFonts w:ascii="Times New Roman" w:hAnsi="Times New Roman"/>
              </w:rPr>
              <w:t>Снижение социального риска</w:t>
            </w:r>
          </w:p>
        </w:tc>
        <w:tc>
          <w:tcPr>
            <w:tcW w:w="1417"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contextualSpacing/>
              <w:jc w:val="both"/>
              <w:rPr>
                <w:rFonts w:ascii="Times New Roman" w:hAnsi="Times New Roman"/>
              </w:rPr>
            </w:pPr>
            <w:r>
              <w:rPr>
                <w:rFonts w:ascii="Times New Roman" w:hAnsi="Times New Roman"/>
              </w:rPr>
              <w:t>ед./1 тыс. населения</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both"/>
              <w:rPr>
                <w:rFonts w:ascii="Times New Roman" w:hAnsi="Times New Roman"/>
              </w:rPr>
            </w:pPr>
            <w:r>
              <w:rPr>
                <w:rFonts w:ascii="Times New Roman" w:hAnsi="Times New Roman"/>
              </w:rPr>
              <w:t>0,003</w:t>
            </w:r>
          </w:p>
        </w:tc>
        <w:tc>
          <w:tcPr>
            <w:tcW w:w="2041" w:type="dxa"/>
            <w:tcBorders>
              <w:top w:val="single" w:sz="4" w:space="0" w:color="auto"/>
              <w:left w:val="single" w:sz="4" w:space="0" w:color="auto"/>
              <w:bottom w:val="single" w:sz="4" w:space="0" w:color="auto"/>
              <w:right w:val="single" w:sz="4" w:space="0" w:color="auto"/>
            </w:tcBorders>
          </w:tcPr>
          <w:p w:rsidR="005057B3" w:rsidRPr="005A3030" w:rsidRDefault="005057B3" w:rsidP="005057B3">
            <w:pPr>
              <w:pStyle w:val="ConsPlusNormal"/>
              <w:ind w:firstLine="540"/>
              <w:contextualSpacing/>
              <w:jc w:val="both"/>
              <w:rPr>
                <w:rFonts w:ascii="Times New Roman" w:hAnsi="Times New Roman"/>
              </w:rPr>
            </w:pPr>
            <w:r>
              <w:rPr>
                <w:rFonts w:ascii="Times New Roman" w:hAnsi="Times New Roman"/>
              </w:rPr>
              <w:t>0,00</w:t>
            </w:r>
            <w:r w:rsidR="00FA7E2E">
              <w:rPr>
                <w:rFonts w:ascii="Times New Roman" w:hAnsi="Times New Roman"/>
              </w:rPr>
              <w:t>1</w:t>
            </w:r>
          </w:p>
        </w:tc>
        <w:tc>
          <w:tcPr>
            <w:tcW w:w="4446" w:type="dxa"/>
            <w:tcBorders>
              <w:top w:val="single" w:sz="4" w:space="0" w:color="auto"/>
              <w:left w:val="single" w:sz="4" w:space="0" w:color="auto"/>
              <w:bottom w:val="single" w:sz="4" w:space="0" w:color="auto"/>
              <w:right w:val="single" w:sz="4" w:space="0" w:color="auto"/>
            </w:tcBorders>
          </w:tcPr>
          <w:p w:rsidR="005057B3" w:rsidRPr="005A3030" w:rsidRDefault="006B1CB8" w:rsidP="005057B3">
            <w:pPr>
              <w:pStyle w:val="ConsPlusNormal"/>
              <w:ind w:firstLine="540"/>
              <w:contextualSpacing/>
              <w:jc w:val="center"/>
              <w:rPr>
                <w:rFonts w:ascii="Times New Roman" w:hAnsi="Times New Roman"/>
              </w:rPr>
            </w:pPr>
            <w:r>
              <w:rPr>
                <w:rFonts w:ascii="Times New Roman" w:hAnsi="Times New Roman"/>
              </w:rPr>
              <w:t>1,0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Ожидаемые результаты реализации входящих в муниципальную программу подпрограмм </w:t>
            </w:r>
            <w:hyperlink w:anchor="Par280" w:history="1">
              <w:r w:rsidRPr="005A3030">
                <w:rPr>
                  <w:rStyle w:val="a5"/>
                  <w:rFonts w:ascii="Times New Roman" w:hAnsi="Times New Roman"/>
                </w:rPr>
                <w:t>&lt;9&gt;</w:t>
              </w:r>
            </w:hyperlink>
          </w:p>
        </w:tc>
        <w:tc>
          <w:tcPr>
            <w:tcW w:w="4446" w:type="dxa"/>
            <w:tcBorders>
              <w:top w:val="single" w:sz="4" w:space="0" w:color="auto"/>
              <w:left w:val="single" w:sz="4" w:space="0" w:color="auto"/>
              <w:bottom w:val="single" w:sz="4" w:space="0" w:color="auto"/>
              <w:right w:val="single" w:sz="4" w:space="0" w:color="auto"/>
            </w:tcBorders>
          </w:tcPr>
          <w:p w:rsidR="005A3030" w:rsidRPr="005A3030" w:rsidRDefault="006B1CB8" w:rsidP="005E5671">
            <w:pPr>
              <w:pStyle w:val="ConsPlusNormal"/>
              <w:ind w:firstLine="540"/>
              <w:contextualSpacing/>
              <w:jc w:val="center"/>
              <w:rPr>
                <w:rFonts w:ascii="Times New Roman" w:hAnsi="Times New Roman"/>
              </w:rPr>
            </w:pPr>
            <w:r>
              <w:rPr>
                <w:rFonts w:ascii="Times New Roman" w:hAnsi="Times New Roman"/>
              </w:rPr>
              <w:t>100</w:t>
            </w:r>
          </w:p>
        </w:tc>
      </w:tr>
      <w:tr w:rsidR="005A3030" w:rsidRPr="005A3030" w:rsidTr="00C936B8">
        <w:tc>
          <w:tcPr>
            <w:tcW w:w="9588" w:type="dxa"/>
            <w:gridSpan w:val="5"/>
            <w:tcBorders>
              <w:top w:val="single" w:sz="4" w:space="0" w:color="auto"/>
              <w:left w:val="single" w:sz="4" w:space="0" w:color="auto"/>
              <w:bottom w:val="single" w:sz="4" w:space="0" w:color="auto"/>
              <w:right w:val="single" w:sz="4" w:space="0" w:color="auto"/>
            </w:tcBorders>
          </w:tcPr>
          <w:p w:rsidR="005A3030" w:rsidRPr="005A3030" w:rsidRDefault="005A3030" w:rsidP="005A3030">
            <w:pPr>
              <w:pStyle w:val="ConsPlusNormal"/>
              <w:ind w:firstLine="540"/>
              <w:contextualSpacing/>
              <w:jc w:val="both"/>
              <w:rPr>
                <w:rFonts w:ascii="Times New Roman" w:hAnsi="Times New Roman"/>
              </w:rPr>
            </w:pPr>
            <w:r w:rsidRPr="005A3030">
              <w:rPr>
                <w:rFonts w:ascii="Times New Roman" w:hAnsi="Times New Roman"/>
              </w:rPr>
              <w:t xml:space="preserve">Итоговая степень достижения плановых значений ожидаемых результатов реализации муниципальной программы </w:t>
            </w:r>
            <w:hyperlink w:anchor="Par281" w:history="1">
              <w:r w:rsidRPr="005A3030">
                <w:rPr>
                  <w:rStyle w:val="a5"/>
                  <w:rFonts w:ascii="Times New Roman" w:hAnsi="Times New Roman"/>
                </w:rPr>
                <w:t>&lt;10&gt;</w:t>
              </w:r>
            </w:hyperlink>
          </w:p>
        </w:tc>
        <w:tc>
          <w:tcPr>
            <w:tcW w:w="4446" w:type="dxa"/>
            <w:tcBorders>
              <w:top w:val="single" w:sz="4" w:space="0" w:color="auto"/>
              <w:left w:val="single" w:sz="4" w:space="0" w:color="auto"/>
              <w:bottom w:val="single" w:sz="4" w:space="0" w:color="auto"/>
              <w:right w:val="single" w:sz="4" w:space="0" w:color="auto"/>
            </w:tcBorders>
          </w:tcPr>
          <w:p w:rsidR="00526A5A" w:rsidRPr="006A5D54" w:rsidRDefault="00526A5A" w:rsidP="006A5D54">
            <w:pPr>
              <w:pStyle w:val="ConsPlusNormal"/>
              <w:ind w:firstLine="540"/>
              <w:contextualSpacing/>
              <w:jc w:val="both"/>
              <w:rPr>
                <w:rFonts w:ascii="Times New Roman" w:hAnsi="Times New Roman"/>
              </w:rPr>
            </w:pPr>
            <w:r>
              <w:rPr>
                <w:rFonts w:ascii="Times New Roman" w:hAnsi="Times New Roman"/>
              </w:rPr>
              <w:t>(</w:t>
            </w:r>
            <w:r w:rsidR="006B1CB8">
              <w:rPr>
                <w:rFonts w:ascii="Times New Roman" w:hAnsi="Times New Roman"/>
              </w:rPr>
              <w:t>100,0</w:t>
            </w:r>
            <w:r>
              <w:rPr>
                <w:rFonts w:ascii="Times New Roman" w:hAnsi="Times New Roman"/>
              </w:rPr>
              <w:t>*0,</w:t>
            </w:r>
            <w:proofErr w:type="gramStart"/>
            <w:r>
              <w:rPr>
                <w:rFonts w:ascii="Times New Roman" w:hAnsi="Times New Roman"/>
              </w:rPr>
              <w:t>6)+(</w:t>
            </w:r>
            <w:proofErr w:type="gramEnd"/>
            <w:r w:rsidR="006B1CB8">
              <w:rPr>
                <w:rFonts w:ascii="Times New Roman" w:hAnsi="Times New Roman"/>
              </w:rPr>
              <w:t>100,0</w:t>
            </w:r>
            <w:r>
              <w:rPr>
                <w:rFonts w:ascii="Times New Roman" w:hAnsi="Times New Roman"/>
              </w:rPr>
              <w:t>*0,4)=</w:t>
            </w:r>
            <w:r w:rsidR="006A5D54">
              <w:rPr>
                <w:rFonts w:ascii="Times New Roman" w:hAnsi="Times New Roman"/>
              </w:rPr>
              <w:t xml:space="preserve"> </w:t>
            </w:r>
            <w:r w:rsidR="006B1CB8">
              <w:rPr>
                <w:rFonts w:ascii="Times New Roman" w:hAnsi="Times New Roman"/>
                <w:b/>
              </w:rPr>
              <w:t>100</w:t>
            </w:r>
          </w:p>
        </w:tc>
      </w:tr>
    </w:tbl>
    <w:p w:rsidR="005A3030" w:rsidRPr="005A3030" w:rsidRDefault="005A3030" w:rsidP="005A3030">
      <w:pPr>
        <w:pStyle w:val="ConsPlusNormal"/>
        <w:contextualSpacing/>
        <w:rPr>
          <w:rFonts w:ascii="Times New Roman" w:hAnsi="Times New Roman"/>
        </w:rPr>
      </w:pPr>
    </w:p>
    <w:p w:rsidR="005A3030" w:rsidRPr="005A3030" w:rsidRDefault="005A3030" w:rsidP="005A3030">
      <w:pPr>
        <w:pStyle w:val="ConsPlusNormal"/>
        <w:contextualSpacing/>
        <w:rPr>
          <w:rFonts w:ascii="Times New Roman" w:hAnsi="Times New Roman"/>
        </w:rPr>
      </w:pPr>
      <w:r w:rsidRPr="005A3030">
        <w:rPr>
          <w:rFonts w:ascii="Times New Roman" w:hAnsi="Times New Roman"/>
        </w:rPr>
        <w:t>--------------------------------</w:t>
      </w:r>
    </w:p>
    <w:p w:rsidR="005A3030" w:rsidRPr="00A27EBD" w:rsidRDefault="005A3030" w:rsidP="005A3030">
      <w:pPr>
        <w:pStyle w:val="ConsPlusNormal"/>
        <w:contextualSpacing/>
        <w:rPr>
          <w:rFonts w:ascii="Times New Roman" w:hAnsi="Times New Roman"/>
          <w:sz w:val="20"/>
        </w:rPr>
      </w:pPr>
      <w:bookmarkStart w:id="4" w:name="Par269"/>
      <w:bookmarkEnd w:id="4"/>
      <w:r w:rsidRPr="00A27EBD">
        <w:rPr>
          <w:rFonts w:ascii="Times New Roman" w:hAnsi="Times New Roman"/>
          <w:sz w:val="20"/>
        </w:rPr>
        <w:t>&lt;1&gt; - заполнение формы расчета оценки эффективности реализации муниципальной программы осуществляется исполнителем мероприятия, исполнителем ОМ, исполнителем ВЦП, соисполнителем муниципальной программы и ответственным исполнителем муниципальной программы в пределах их компетенции.</w:t>
      </w:r>
    </w:p>
    <w:p w:rsidR="005A3030" w:rsidRPr="00A27EBD" w:rsidRDefault="005A3030" w:rsidP="005A3030">
      <w:pPr>
        <w:pStyle w:val="ConsPlusNormal"/>
        <w:contextualSpacing/>
        <w:rPr>
          <w:rFonts w:ascii="Times New Roman" w:hAnsi="Times New Roman"/>
          <w:sz w:val="20"/>
        </w:rPr>
      </w:pPr>
      <w:bookmarkStart w:id="5" w:name="Par270"/>
      <w:bookmarkEnd w:id="5"/>
      <w:r w:rsidRPr="00A27EBD">
        <w:rPr>
          <w:rFonts w:ascii="Times New Roman" w:hAnsi="Times New Roman"/>
          <w:sz w:val="20"/>
        </w:rPr>
        <w:t xml:space="preserve">&lt;2&gt; - степень достижения значения целевого индикатора рассчитывается по формуле: графа 7 = графа 6 / графа 5. В случае если положительной динамикой достижения </w:t>
      </w:r>
      <w:r w:rsidRPr="00A27EBD">
        <w:rPr>
          <w:rFonts w:ascii="Times New Roman" w:hAnsi="Times New Roman"/>
          <w:sz w:val="20"/>
        </w:rPr>
        <w:lastRenderedPageBreak/>
        <w:t>значения целевого индикатора является снижение его значения, то степень достижения значения целевого индикатора рассчитывается по формуле: графа 7 = 2 - (графа 6 / графа 5). В случае если фактическое значение целевого индикатора больше или равно запланированному значению целевого индикатора, то значение степени достижения целевого индикатора принимается равным 1.</w:t>
      </w:r>
    </w:p>
    <w:p w:rsidR="005A3030" w:rsidRPr="00A27EBD" w:rsidRDefault="005A3030" w:rsidP="005A3030">
      <w:pPr>
        <w:pStyle w:val="ConsPlusNormal"/>
        <w:contextualSpacing/>
        <w:rPr>
          <w:rFonts w:ascii="Times New Roman" w:hAnsi="Times New Roman"/>
          <w:sz w:val="20"/>
        </w:rPr>
      </w:pPr>
      <w:bookmarkStart w:id="6" w:name="Par271"/>
      <w:bookmarkEnd w:id="6"/>
      <w:r w:rsidRPr="00A27EBD">
        <w:rPr>
          <w:rFonts w:ascii="Times New Roman" w:hAnsi="Times New Roman"/>
          <w:sz w:val="20"/>
        </w:rPr>
        <w:t>&lt;3&gt; - уровень финансового обеспечения мероприятия рассчитывается по формуле: графа 12 = (графа 10 - графа 9 + графа 11) / (графа 8 - графа 9). В случае если фактический объем финансового обеспечения больше или равен запланированному объему финансового обеспечения, то уровень финансового обеспечения принимается равным 1.</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&lt;4&gt; - эффективность реализации мероприятия рассчитывается по формуле: графа 13 = графа 7 / графа 12. В случае если для мероприятия установлено несколько целевых индикаторов, то для расчета применяется значение "итого" по графе 7.</w:t>
      </w:r>
    </w:p>
    <w:p w:rsidR="005A3030" w:rsidRPr="00A27EBD" w:rsidRDefault="005A3030" w:rsidP="005A3030">
      <w:pPr>
        <w:pStyle w:val="ConsPlusNormal"/>
        <w:contextualSpacing/>
        <w:rPr>
          <w:rFonts w:ascii="Times New Roman" w:hAnsi="Times New Roman"/>
          <w:sz w:val="20"/>
        </w:rPr>
      </w:pPr>
      <w:bookmarkStart w:id="7" w:name="Par273"/>
      <w:bookmarkEnd w:id="7"/>
      <w:r w:rsidRPr="00A27EBD">
        <w:rPr>
          <w:rFonts w:ascii="Times New Roman" w:hAnsi="Times New Roman"/>
          <w:sz w:val="20"/>
        </w:rPr>
        <w:t>&lt;5&gt; - эффективность реализации:</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ВЦП/ОМ определяется в соответствии с пунктом 8 Порядка проведения оценки эффективности реализации муниципальной программы в зависимости от структуры ВЦП/ОМ;</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подпрограммы определяется как отношение суммарного значения эффективности реализации ВЦП/ОМ, входящих в состав подпрограммы, к их количеству;</w:t>
      </w:r>
    </w:p>
    <w:p w:rsidR="005A3030" w:rsidRPr="00A27EBD" w:rsidRDefault="005A3030" w:rsidP="005A3030">
      <w:pPr>
        <w:pStyle w:val="ConsPlusNormal"/>
        <w:contextualSpacing/>
        <w:rPr>
          <w:rFonts w:ascii="Times New Roman" w:hAnsi="Times New Roman"/>
          <w:sz w:val="20"/>
        </w:rPr>
      </w:pPr>
      <w:r w:rsidRPr="00A27EBD">
        <w:rPr>
          <w:rFonts w:ascii="Times New Roman" w:hAnsi="Times New Roman"/>
          <w:sz w:val="20"/>
        </w:rPr>
        <w:t>муниципальной программы определяется как отношение суммарного значения эффективности реализации подпрограмм, входящих в состав муниципальной программы, к их количеству.</w:t>
      </w:r>
    </w:p>
    <w:p w:rsidR="005A3030" w:rsidRPr="00A27EBD" w:rsidRDefault="005A3030" w:rsidP="005A3030">
      <w:pPr>
        <w:pStyle w:val="ConsPlusNormal"/>
        <w:contextualSpacing/>
        <w:rPr>
          <w:rFonts w:ascii="Times New Roman" w:hAnsi="Times New Roman"/>
          <w:sz w:val="20"/>
        </w:rPr>
      </w:pPr>
      <w:bookmarkStart w:id="8" w:name="Par277"/>
      <w:bookmarkEnd w:id="8"/>
      <w:r w:rsidRPr="00A27EBD">
        <w:rPr>
          <w:rFonts w:ascii="Times New Roman" w:hAnsi="Times New Roman"/>
          <w:sz w:val="20"/>
        </w:rPr>
        <w:t>&lt;6&gt; - в случае если для мероприятия установлено несколько целевых индикаторов, то итоговая степень достижения значений целевых индикаторов рассчитывается как среднее арифметическое значение степеней достижения значений целевых индикаторов, установленных для такого мероприятия.</w:t>
      </w:r>
    </w:p>
    <w:p w:rsidR="005A3030" w:rsidRPr="00A27EBD" w:rsidRDefault="005A3030" w:rsidP="005A3030">
      <w:pPr>
        <w:pStyle w:val="ConsPlusNormal"/>
        <w:contextualSpacing/>
        <w:rPr>
          <w:rFonts w:ascii="Times New Roman" w:hAnsi="Times New Roman"/>
          <w:sz w:val="20"/>
        </w:rPr>
      </w:pPr>
      <w:bookmarkStart w:id="9" w:name="Par278"/>
      <w:bookmarkEnd w:id="9"/>
      <w:r w:rsidRPr="00A27EBD">
        <w:rPr>
          <w:rFonts w:ascii="Times New Roman" w:hAnsi="Times New Roman"/>
          <w:sz w:val="20"/>
        </w:rPr>
        <w:t>&lt;7&gt; - степень достижения планового значения ожидаемого результата реализации муниципальной программы (подпрограммы) рассчитывается по формуле: графа 6 = графа 5 / графа 4. В случае если положительной динамикой достижения значения ожидаемого результата является снижение его значения, то степень достижения планового значения ожидаемого результата реализации муниципальной программы (подпрограммы) рассчитывается по формуле: графа 6 = 2 - (графа 5 / графа 4). В случае если фактическое значение ожидаемого результата реализации муниципальной программы (подпрограммы) больше или равно запланированному значению ожидаемого результата реализации муниципальной программы (подпрограммы), то значение степени достижения ожидаемого результата реализации муниципальной программы (подпрограммы) принимается равным 1.</w:t>
      </w:r>
    </w:p>
    <w:p w:rsidR="005A3030" w:rsidRPr="00A27EBD" w:rsidRDefault="005A3030" w:rsidP="005A3030">
      <w:pPr>
        <w:pStyle w:val="ConsPlusNormal"/>
        <w:contextualSpacing/>
        <w:rPr>
          <w:rFonts w:ascii="Times New Roman" w:hAnsi="Times New Roman"/>
          <w:sz w:val="20"/>
        </w:rPr>
      </w:pPr>
      <w:bookmarkStart w:id="10" w:name="Par279"/>
      <w:bookmarkEnd w:id="10"/>
      <w:r w:rsidRPr="00A27EBD">
        <w:rPr>
          <w:rFonts w:ascii="Times New Roman" w:hAnsi="Times New Roman"/>
          <w:sz w:val="20"/>
        </w:rPr>
        <w:t>&lt;8&gt; - степень достижения плановых значений ожидаемых результатов реализации муниципальной программы определяется как отношение суммарного значения степени достижения планового значения каждого ожидаемого результата реализации муниципальной 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1" w:name="Par280"/>
      <w:bookmarkEnd w:id="11"/>
      <w:r w:rsidRPr="00A27EBD">
        <w:rPr>
          <w:rFonts w:ascii="Times New Roman" w:hAnsi="Times New Roman"/>
          <w:sz w:val="20"/>
        </w:rPr>
        <w:t>&lt;9&gt; - степень достижения плановых значений ожидаемых результатов реализации входящих в муниципальной программу подпрограмм определяется как отношение суммарного значения степени достижения планового значения каждого ожидаемого результата реализации подпрограммы к их количеству, умноженное на 100 процентов.</w:t>
      </w:r>
    </w:p>
    <w:p w:rsidR="005A3030" w:rsidRPr="00A27EBD" w:rsidRDefault="005A3030" w:rsidP="005A3030">
      <w:pPr>
        <w:pStyle w:val="ConsPlusNormal"/>
        <w:contextualSpacing/>
        <w:rPr>
          <w:rFonts w:ascii="Times New Roman" w:hAnsi="Times New Roman"/>
          <w:sz w:val="20"/>
        </w:rPr>
      </w:pPr>
      <w:bookmarkStart w:id="12" w:name="Par281"/>
      <w:bookmarkEnd w:id="12"/>
      <w:r w:rsidRPr="00A27EBD">
        <w:rPr>
          <w:rFonts w:ascii="Times New Roman" w:hAnsi="Times New Roman"/>
          <w:sz w:val="20"/>
        </w:rPr>
        <w:t>&lt;10&gt; - итоговая степень достижения плановых значений ожидаемых результатов реализации муниципальной программы определяется как сумма суммарного значения степени достижения плановых значений ожидаемых результатов реализации муниципальной программы, умноженного на 0,6</w:t>
      </w:r>
      <w:r w:rsidR="005057B3">
        <w:rPr>
          <w:rFonts w:ascii="Times New Roman" w:hAnsi="Times New Roman"/>
          <w:sz w:val="20"/>
        </w:rPr>
        <w:t xml:space="preserve"> </w:t>
      </w:r>
      <w:r w:rsidRPr="00A27EBD">
        <w:rPr>
          <w:rFonts w:ascii="Times New Roman" w:hAnsi="Times New Roman"/>
          <w:sz w:val="20"/>
        </w:rPr>
        <w:t>и суммарного значения степени достижения плановых значений ожидаемых результатов реализации входящих в муниципальной программу подпрограмм, умноженного на 0,4.</w:t>
      </w:r>
    </w:p>
    <w:p w:rsidR="005A3030" w:rsidRPr="005A3030" w:rsidRDefault="005A3030" w:rsidP="005A3030">
      <w:pPr>
        <w:pStyle w:val="ConsPlusNormal"/>
        <w:ind w:firstLine="540"/>
        <w:contextualSpacing/>
        <w:rPr>
          <w:rFonts w:ascii="Times New Roman" w:hAnsi="Times New Roman"/>
        </w:rPr>
      </w:pPr>
    </w:p>
    <w:p w:rsidR="005A3030" w:rsidRDefault="005A3030" w:rsidP="0025058C">
      <w:pPr>
        <w:pStyle w:val="ConsPlusNormal"/>
        <w:ind w:firstLine="540"/>
        <w:contextualSpacing/>
        <w:jc w:val="both"/>
        <w:rPr>
          <w:rFonts w:ascii="Times New Roman" w:hAnsi="Times New Roman" w:cs="Times New Roman"/>
        </w:rPr>
      </w:pPr>
    </w:p>
    <w:p w:rsidR="005A3030" w:rsidRDefault="005A3030" w:rsidP="0025058C">
      <w:pPr>
        <w:pStyle w:val="ConsPlusNormal"/>
        <w:ind w:firstLine="540"/>
        <w:contextualSpacing/>
        <w:jc w:val="both"/>
        <w:rPr>
          <w:rFonts w:ascii="Times New Roman" w:hAnsi="Times New Roman" w:cs="Times New Roman"/>
        </w:rPr>
      </w:pPr>
    </w:p>
    <w:p w:rsidR="00065927" w:rsidRDefault="00065927" w:rsidP="0025058C">
      <w:pPr>
        <w:rPr>
          <w:rFonts w:ascii="Times New Roman" w:hAnsi="Times New Roman"/>
        </w:rPr>
      </w:pPr>
    </w:p>
    <w:p w:rsidR="001237D1" w:rsidRDefault="001237D1" w:rsidP="0025058C">
      <w:pPr>
        <w:rPr>
          <w:rFonts w:ascii="Times New Roman" w:hAnsi="Times New Roman"/>
          <w:sz w:val="20"/>
          <w:szCs w:val="20"/>
        </w:rPr>
      </w:pPr>
    </w:p>
    <w:p w:rsidR="00065927" w:rsidRPr="001237D1" w:rsidRDefault="00065927" w:rsidP="0025058C">
      <w:pPr>
        <w:rPr>
          <w:rFonts w:ascii="Times New Roman" w:hAnsi="Times New Roman"/>
          <w:sz w:val="16"/>
          <w:szCs w:val="16"/>
        </w:rPr>
      </w:pPr>
    </w:p>
    <w:sectPr w:rsidR="00065927" w:rsidRPr="001237D1" w:rsidSect="00953BCC">
      <w:pgSz w:w="16838" w:h="11906" w:orient="landscape"/>
      <w:pgMar w:top="170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F64D4"/>
    <w:rsid w:val="00001989"/>
    <w:rsid w:val="00001FF0"/>
    <w:rsid w:val="000044F6"/>
    <w:rsid w:val="000119A9"/>
    <w:rsid w:val="00014E6D"/>
    <w:rsid w:val="0002030F"/>
    <w:rsid w:val="000240B5"/>
    <w:rsid w:val="00032E29"/>
    <w:rsid w:val="00042791"/>
    <w:rsid w:val="00042B87"/>
    <w:rsid w:val="00050854"/>
    <w:rsid w:val="00065927"/>
    <w:rsid w:val="000670C9"/>
    <w:rsid w:val="000709EC"/>
    <w:rsid w:val="00075C75"/>
    <w:rsid w:val="00076ABE"/>
    <w:rsid w:val="000843EE"/>
    <w:rsid w:val="0009260F"/>
    <w:rsid w:val="000974AA"/>
    <w:rsid w:val="000A4D40"/>
    <w:rsid w:val="000B2FF4"/>
    <w:rsid w:val="000B41C0"/>
    <w:rsid w:val="000B63CF"/>
    <w:rsid w:val="000B7243"/>
    <w:rsid w:val="000C06D0"/>
    <w:rsid w:val="000D3A3A"/>
    <w:rsid w:val="000E26BE"/>
    <w:rsid w:val="000E2AED"/>
    <w:rsid w:val="000F059C"/>
    <w:rsid w:val="000F61B2"/>
    <w:rsid w:val="001139A4"/>
    <w:rsid w:val="00116C05"/>
    <w:rsid w:val="00116E55"/>
    <w:rsid w:val="001237D1"/>
    <w:rsid w:val="00141A44"/>
    <w:rsid w:val="00144D64"/>
    <w:rsid w:val="00175AC9"/>
    <w:rsid w:val="0018168F"/>
    <w:rsid w:val="001872AC"/>
    <w:rsid w:val="00190C4F"/>
    <w:rsid w:val="00191B14"/>
    <w:rsid w:val="00191CD7"/>
    <w:rsid w:val="0019396F"/>
    <w:rsid w:val="001965A9"/>
    <w:rsid w:val="001A7104"/>
    <w:rsid w:val="001B10FF"/>
    <w:rsid w:val="001C3075"/>
    <w:rsid w:val="001D666E"/>
    <w:rsid w:val="001E13B6"/>
    <w:rsid w:val="00215047"/>
    <w:rsid w:val="00225940"/>
    <w:rsid w:val="00227B67"/>
    <w:rsid w:val="00231008"/>
    <w:rsid w:val="00236247"/>
    <w:rsid w:val="00246C9D"/>
    <w:rsid w:val="0025058C"/>
    <w:rsid w:val="0025670C"/>
    <w:rsid w:val="002610EF"/>
    <w:rsid w:val="00263F6B"/>
    <w:rsid w:val="002642D1"/>
    <w:rsid w:val="00265A25"/>
    <w:rsid w:val="00277F55"/>
    <w:rsid w:val="00281ABC"/>
    <w:rsid w:val="00284799"/>
    <w:rsid w:val="002B5EA9"/>
    <w:rsid w:val="002E376F"/>
    <w:rsid w:val="002F2789"/>
    <w:rsid w:val="002F7FC6"/>
    <w:rsid w:val="00301B3B"/>
    <w:rsid w:val="00307146"/>
    <w:rsid w:val="00317B39"/>
    <w:rsid w:val="00320177"/>
    <w:rsid w:val="003405E9"/>
    <w:rsid w:val="00344A0B"/>
    <w:rsid w:val="00356A4C"/>
    <w:rsid w:val="0036020A"/>
    <w:rsid w:val="00362713"/>
    <w:rsid w:val="00365946"/>
    <w:rsid w:val="00373424"/>
    <w:rsid w:val="003744A5"/>
    <w:rsid w:val="003837FF"/>
    <w:rsid w:val="003A5575"/>
    <w:rsid w:val="003A79B3"/>
    <w:rsid w:val="003B1D5F"/>
    <w:rsid w:val="003B714E"/>
    <w:rsid w:val="003C61EC"/>
    <w:rsid w:val="00404789"/>
    <w:rsid w:val="004050B1"/>
    <w:rsid w:val="00420BF0"/>
    <w:rsid w:val="0043725A"/>
    <w:rsid w:val="00446DB5"/>
    <w:rsid w:val="004514FE"/>
    <w:rsid w:val="004728CD"/>
    <w:rsid w:val="00474188"/>
    <w:rsid w:val="00475450"/>
    <w:rsid w:val="00487737"/>
    <w:rsid w:val="004A25A5"/>
    <w:rsid w:val="004A339C"/>
    <w:rsid w:val="004A41B1"/>
    <w:rsid w:val="004C6414"/>
    <w:rsid w:val="004D0399"/>
    <w:rsid w:val="004F192F"/>
    <w:rsid w:val="005057B3"/>
    <w:rsid w:val="00507274"/>
    <w:rsid w:val="00520099"/>
    <w:rsid w:val="00526A5A"/>
    <w:rsid w:val="0054199C"/>
    <w:rsid w:val="00547E7F"/>
    <w:rsid w:val="00575861"/>
    <w:rsid w:val="005856D3"/>
    <w:rsid w:val="00591D1A"/>
    <w:rsid w:val="005927B6"/>
    <w:rsid w:val="005929AA"/>
    <w:rsid w:val="005955DB"/>
    <w:rsid w:val="00596325"/>
    <w:rsid w:val="005A00B2"/>
    <w:rsid w:val="005A3030"/>
    <w:rsid w:val="005B20E7"/>
    <w:rsid w:val="005B227E"/>
    <w:rsid w:val="005B646A"/>
    <w:rsid w:val="005C0397"/>
    <w:rsid w:val="005C5FE0"/>
    <w:rsid w:val="005C7AC1"/>
    <w:rsid w:val="005E5189"/>
    <w:rsid w:val="005E5671"/>
    <w:rsid w:val="005F2E81"/>
    <w:rsid w:val="0062686F"/>
    <w:rsid w:val="00652EC1"/>
    <w:rsid w:val="00664590"/>
    <w:rsid w:val="006A5D54"/>
    <w:rsid w:val="006B1CB8"/>
    <w:rsid w:val="006B4050"/>
    <w:rsid w:val="006B5BBD"/>
    <w:rsid w:val="006C24B1"/>
    <w:rsid w:val="006C4822"/>
    <w:rsid w:val="006D2B5C"/>
    <w:rsid w:val="006F15FB"/>
    <w:rsid w:val="006F2BF9"/>
    <w:rsid w:val="006F3D1A"/>
    <w:rsid w:val="006F3F31"/>
    <w:rsid w:val="006F4EC1"/>
    <w:rsid w:val="006F64D4"/>
    <w:rsid w:val="006F6746"/>
    <w:rsid w:val="00711A62"/>
    <w:rsid w:val="007144E2"/>
    <w:rsid w:val="00724150"/>
    <w:rsid w:val="007313D1"/>
    <w:rsid w:val="007373E6"/>
    <w:rsid w:val="007379F8"/>
    <w:rsid w:val="0074254A"/>
    <w:rsid w:val="007455D6"/>
    <w:rsid w:val="00752E6C"/>
    <w:rsid w:val="00756CF3"/>
    <w:rsid w:val="007651A4"/>
    <w:rsid w:val="00770013"/>
    <w:rsid w:val="00770202"/>
    <w:rsid w:val="007709A0"/>
    <w:rsid w:val="00787CC3"/>
    <w:rsid w:val="00797800"/>
    <w:rsid w:val="007B7123"/>
    <w:rsid w:val="007B71CE"/>
    <w:rsid w:val="007C0733"/>
    <w:rsid w:val="007D71A2"/>
    <w:rsid w:val="007E3148"/>
    <w:rsid w:val="007F0415"/>
    <w:rsid w:val="007F64C9"/>
    <w:rsid w:val="0081107B"/>
    <w:rsid w:val="0081265C"/>
    <w:rsid w:val="00824C72"/>
    <w:rsid w:val="00830BA7"/>
    <w:rsid w:val="00840050"/>
    <w:rsid w:val="008447B4"/>
    <w:rsid w:val="00862713"/>
    <w:rsid w:val="00864410"/>
    <w:rsid w:val="00872C03"/>
    <w:rsid w:val="008817A6"/>
    <w:rsid w:val="00882DE1"/>
    <w:rsid w:val="00892B4D"/>
    <w:rsid w:val="008A45B6"/>
    <w:rsid w:val="008B2995"/>
    <w:rsid w:val="008C3E14"/>
    <w:rsid w:val="008C6DD7"/>
    <w:rsid w:val="008C7BAE"/>
    <w:rsid w:val="008F3611"/>
    <w:rsid w:val="008F7BA2"/>
    <w:rsid w:val="00924B61"/>
    <w:rsid w:val="00926450"/>
    <w:rsid w:val="0093464A"/>
    <w:rsid w:val="00950AFC"/>
    <w:rsid w:val="00953BCC"/>
    <w:rsid w:val="0095697A"/>
    <w:rsid w:val="009746F6"/>
    <w:rsid w:val="00977472"/>
    <w:rsid w:val="00980AE4"/>
    <w:rsid w:val="009844BB"/>
    <w:rsid w:val="0099207F"/>
    <w:rsid w:val="009938A1"/>
    <w:rsid w:val="00993B7F"/>
    <w:rsid w:val="009A2123"/>
    <w:rsid w:val="009A7C82"/>
    <w:rsid w:val="009C09FB"/>
    <w:rsid w:val="009C3ED7"/>
    <w:rsid w:val="009D134B"/>
    <w:rsid w:val="009D5D61"/>
    <w:rsid w:val="009F7AE1"/>
    <w:rsid w:val="00A16191"/>
    <w:rsid w:val="00A27EBD"/>
    <w:rsid w:val="00A317AA"/>
    <w:rsid w:val="00A33843"/>
    <w:rsid w:val="00A400C8"/>
    <w:rsid w:val="00A5638F"/>
    <w:rsid w:val="00A57ADC"/>
    <w:rsid w:val="00A63AE7"/>
    <w:rsid w:val="00A66569"/>
    <w:rsid w:val="00A67E02"/>
    <w:rsid w:val="00A71CEB"/>
    <w:rsid w:val="00A9142F"/>
    <w:rsid w:val="00AB678A"/>
    <w:rsid w:val="00AC0D1E"/>
    <w:rsid w:val="00AC36DB"/>
    <w:rsid w:val="00AD4978"/>
    <w:rsid w:val="00AD5A12"/>
    <w:rsid w:val="00AF2BC4"/>
    <w:rsid w:val="00B02F2C"/>
    <w:rsid w:val="00B05038"/>
    <w:rsid w:val="00B05CFA"/>
    <w:rsid w:val="00B12A36"/>
    <w:rsid w:val="00B151B1"/>
    <w:rsid w:val="00B3043A"/>
    <w:rsid w:val="00B32F47"/>
    <w:rsid w:val="00B3589D"/>
    <w:rsid w:val="00B460DD"/>
    <w:rsid w:val="00B56EEC"/>
    <w:rsid w:val="00B61C0B"/>
    <w:rsid w:val="00B743B1"/>
    <w:rsid w:val="00B7580C"/>
    <w:rsid w:val="00B92D19"/>
    <w:rsid w:val="00BB2B7E"/>
    <w:rsid w:val="00BC2C89"/>
    <w:rsid w:val="00BD0DC2"/>
    <w:rsid w:val="00BD5913"/>
    <w:rsid w:val="00BE2D9C"/>
    <w:rsid w:val="00BE4ED7"/>
    <w:rsid w:val="00BF342D"/>
    <w:rsid w:val="00BF37D4"/>
    <w:rsid w:val="00BF4B4D"/>
    <w:rsid w:val="00C05E2C"/>
    <w:rsid w:val="00C079F8"/>
    <w:rsid w:val="00C1529B"/>
    <w:rsid w:val="00C2532C"/>
    <w:rsid w:val="00C53A4B"/>
    <w:rsid w:val="00C76092"/>
    <w:rsid w:val="00C84A4F"/>
    <w:rsid w:val="00C936B8"/>
    <w:rsid w:val="00CA25DA"/>
    <w:rsid w:val="00CB0D07"/>
    <w:rsid w:val="00CE6A7E"/>
    <w:rsid w:val="00CE7993"/>
    <w:rsid w:val="00CF493C"/>
    <w:rsid w:val="00CF4C32"/>
    <w:rsid w:val="00CF534D"/>
    <w:rsid w:val="00D0548D"/>
    <w:rsid w:val="00D076E5"/>
    <w:rsid w:val="00D255EC"/>
    <w:rsid w:val="00D2628A"/>
    <w:rsid w:val="00D40806"/>
    <w:rsid w:val="00D5542F"/>
    <w:rsid w:val="00D6702A"/>
    <w:rsid w:val="00D87C7B"/>
    <w:rsid w:val="00DC3835"/>
    <w:rsid w:val="00DE2782"/>
    <w:rsid w:val="00E15491"/>
    <w:rsid w:val="00E17FB4"/>
    <w:rsid w:val="00E2342D"/>
    <w:rsid w:val="00E30A49"/>
    <w:rsid w:val="00E35171"/>
    <w:rsid w:val="00E4658C"/>
    <w:rsid w:val="00E54CBB"/>
    <w:rsid w:val="00E66820"/>
    <w:rsid w:val="00E72DCF"/>
    <w:rsid w:val="00E83510"/>
    <w:rsid w:val="00E929B7"/>
    <w:rsid w:val="00E97752"/>
    <w:rsid w:val="00EA56C9"/>
    <w:rsid w:val="00EB0C57"/>
    <w:rsid w:val="00EC04C6"/>
    <w:rsid w:val="00EC4797"/>
    <w:rsid w:val="00EC582B"/>
    <w:rsid w:val="00EC583B"/>
    <w:rsid w:val="00ED490D"/>
    <w:rsid w:val="00EF48AA"/>
    <w:rsid w:val="00F01387"/>
    <w:rsid w:val="00F12779"/>
    <w:rsid w:val="00F227D0"/>
    <w:rsid w:val="00F23016"/>
    <w:rsid w:val="00F360C1"/>
    <w:rsid w:val="00F450DF"/>
    <w:rsid w:val="00F457E3"/>
    <w:rsid w:val="00F50069"/>
    <w:rsid w:val="00F541BD"/>
    <w:rsid w:val="00F6328E"/>
    <w:rsid w:val="00F71F70"/>
    <w:rsid w:val="00F751F1"/>
    <w:rsid w:val="00F95605"/>
    <w:rsid w:val="00FA18D5"/>
    <w:rsid w:val="00FA227C"/>
    <w:rsid w:val="00FA7E2E"/>
    <w:rsid w:val="00FB36D0"/>
    <w:rsid w:val="00FC7260"/>
    <w:rsid w:val="00FD20AD"/>
    <w:rsid w:val="00FD5324"/>
    <w:rsid w:val="00FE4D62"/>
    <w:rsid w:val="00FF2285"/>
    <w:rsid w:val="00FF3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0BD81"/>
  <w15:docId w15:val="{9E4DC0A0-29F1-405D-A0D4-9283483EC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05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5058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F457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457E3"/>
    <w:rPr>
      <w:rFonts w:ascii="Segoe UI" w:eastAsia="Calibri" w:hAnsi="Segoe UI" w:cs="Segoe UI"/>
      <w:sz w:val="18"/>
      <w:szCs w:val="18"/>
    </w:rPr>
  </w:style>
  <w:style w:type="character" w:styleId="a5">
    <w:name w:val="Hyperlink"/>
    <w:basedOn w:val="a0"/>
    <w:uiPriority w:val="99"/>
    <w:unhideWhenUsed/>
    <w:rsid w:val="005A3030"/>
    <w:rPr>
      <w:color w:val="0000FF" w:themeColor="hyperlink"/>
      <w:u w:val="single"/>
    </w:rPr>
  </w:style>
  <w:style w:type="character" w:styleId="a6">
    <w:name w:val="Unresolved Mention"/>
    <w:basedOn w:val="a0"/>
    <w:uiPriority w:val="99"/>
    <w:semiHidden/>
    <w:unhideWhenUsed/>
    <w:rsid w:val="005A3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96792">
      <w:bodyDiv w:val="1"/>
      <w:marLeft w:val="0"/>
      <w:marRight w:val="0"/>
      <w:marTop w:val="0"/>
      <w:marBottom w:val="0"/>
      <w:divBdr>
        <w:top w:val="none" w:sz="0" w:space="0" w:color="auto"/>
        <w:left w:val="none" w:sz="0" w:space="0" w:color="auto"/>
        <w:bottom w:val="none" w:sz="0" w:space="0" w:color="auto"/>
        <w:right w:val="none" w:sz="0" w:space="0" w:color="auto"/>
      </w:divBdr>
    </w:div>
    <w:div w:id="1298225654">
      <w:bodyDiv w:val="1"/>
      <w:marLeft w:val="0"/>
      <w:marRight w:val="0"/>
      <w:marTop w:val="0"/>
      <w:marBottom w:val="0"/>
      <w:divBdr>
        <w:top w:val="none" w:sz="0" w:space="0" w:color="auto"/>
        <w:left w:val="none" w:sz="0" w:space="0" w:color="auto"/>
        <w:bottom w:val="none" w:sz="0" w:space="0" w:color="auto"/>
        <w:right w:val="none" w:sz="0" w:space="0" w:color="auto"/>
      </w:divBdr>
    </w:div>
    <w:div w:id="1712849618">
      <w:bodyDiv w:val="1"/>
      <w:marLeft w:val="0"/>
      <w:marRight w:val="0"/>
      <w:marTop w:val="0"/>
      <w:marBottom w:val="0"/>
      <w:divBdr>
        <w:top w:val="none" w:sz="0" w:space="0" w:color="auto"/>
        <w:left w:val="none" w:sz="0" w:space="0" w:color="auto"/>
        <w:bottom w:val="none" w:sz="0" w:space="0" w:color="auto"/>
        <w:right w:val="none" w:sz="0" w:space="0" w:color="auto"/>
      </w:divBdr>
    </w:div>
    <w:div w:id="201780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5908-2E73-4A90-B8FF-DD7EED1BC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2445</TotalTime>
  <Pages>4</Pages>
  <Words>1194</Words>
  <Characters>6807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7986</CharactersWithSpaces>
  <SharedDoc>false</SharedDoc>
  <HLinks>
    <vt:vector size="24" baseType="variant">
      <vt:variant>
        <vt:i4>65607</vt:i4>
      </vt:variant>
      <vt:variant>
        <vt:i4>9</vt:i4>
      </vt:variant>
      <vt:variant>
        <vt:i4>0</vt:i4>
      </vt:variant>
      <vt:variant>
        <vt:i4>5</vt:i4>
      </vt:variant>
      <vt:variant>
        <vt:lpwstr/>
      </vt:variant>
      <vt:variant>
        <vt:lpwstr>P170</vt:lpwstr>
      </vt:variant>
      <vt:variant>
        <vt:i4>524358</vt:i4>
      </vt:variant>
      <vt:variant>
        <vt:i4>6</vt:i4>
      </vt:variant>
      <vt:variant>
        <vt:i4>0</vt:i4>
      </vt:variant>
      <vt:variant>
        <vt:i4>5</vt:i4>
      </vt:variant>
      <vt:variant>
        <vt:lpwstr/>
      </vt:variant>
      <vt:variant>
        <vt:lpwstr>P169</vt:lpwstr>
      </vt:variant>
      <vt:variant>
        <vt:i4>589894</vt:i4>
      </vt:variant>
      <vt:variant>
        <vt:i4>3</vt:i4>
      </vt:variant>
      <vt:variant>
        <vt:i4>0</vt:i4>
      </vt:variant>
      <vt:variant>
        <vt:i4>5</vt:i4>
      </vt:variant>
      <vt:variant>
        <vt:lpwstr/>
      </vt:variant>
      <vt:variant>
        <vt:lpwstr>P168</vt:lpwstr>
      </vt:variant>
      <vt:variant>
        <vt:i4>393286</vt:i4>
      </vt:variant>
      <vt:variant>
        <vt:i4>0</vt:i4>
      </vt:variant>
      <vt:variant>
        <vt:i4>0</vt:i4>
      </vt:variant>
      <vt:variant>
        <vt:i4>5</vt:i4>
      </vt:variant>
      <vt:variant>
        <vt:lpwstr/>
      </vt:variant>
      <vt:variant>
        <vt:lpwstr>P167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Винник</dc:creator>
  <cp:lastModifiedBy>ADM5r2</cp:lastModifiedBy>
  <cp:revision>166</cp:revision>
  <cp:lastPrinted>2021-04-19T09:30:00Z</cp:lastPrinted>
  <dcterms:created xsi:type="dcterms:W3CDTF">2017-05-10T05:48:00Z</dcterms:created>
  <dcterms:modified xsi:type="dcterms:W3CDTF">2023-05-23T04:18:00Z</dcterms:modified>
</cp:coreProperties>
</file>