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05" w:rsidRPr="002464BB" w:rsidRDefault="003C39CC" w:rsidP="0075142F">
      <w:pPr>
        <w:ind w:right="-284"/>
        <w:rPr>
          <w:noProof/>
        </w:rPr>
      </w:pPr>
      <w:r w:rsidRPr="002464BB">
        <w:rPr>
          <w:noProof/>
          <w:lang w:eastAsia="ru-RU"/>
        </w:rPr>
        <w:drawing>
          <wp:inline distT="0" distB="0" distL="0" distR="0">
            <wp:extent cx="5687868" cy="2537915"/>
            <wp:effectExtent l="19050" t="0" r="808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1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868" cy="253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AC" w:rsidRPr="002464BB" w:rsidRDefault="002464BB" w:rsidP="00E47FAC">
      <w:pPr>
        <w:rPr>
          <w:rFonts w:ascii="Times New Roman" w:hAnsi="Times New Roman" w:cs="Times New Roman"/>
          <w:noProof/>
          <w:sz w:val="27"/>
          <w:szCs w:val="27"/>
        </w:rPr>
      </w:pPr>
      <w:r w:rsidRPr="002464BB">
        <w:rPr>
          <w:rFonts w:ascii="Times New Roman" w:hAnsi="Times New Roman" w:cs="Times New Roman"/>
          <w:noProof/>
          <w:sz w:val="28"/>
          <w:szCs w:val="28"/>
        </w:rPr>
        <w:t xml:space="preserve">_____________                                                                           </w:t>
      </w:r>
      <w:r w:rsidRPr="002464BB">
        <w:rPr>
          <w:rFonts w:ascii="Times New Roman" w:hAnsi="Times New Roman" w:cs="Times New Roman"/>
          <w:noProof/>
          <w:sz w:val="27"/>
          <w:szCs w:val="27"/>
        </w:rPr>
        <w:t xml:space="preserve">№     </w:t>
      </w:r>
      <w:r w:rsidR="0028289C" w:rsidRPr="002464BB">
        <w:rPr>
          <w:rFonts w:ascii="Times New Roman" w:hAnsi="Times New Roman" w:cs="Times New Roman"/>
          <w:noProof/>
          <w:sz w:val="27"/>
          <w:szCs w:val="27"/>
        </w:rPr>
        <w:t>__________</w:t>
      </w:r>
    </w:p>
    <w:p w:rsidR="0028289C" w:rsidRPr="002464BB" w:rsidRDefault="0028289C" w:rsidP="00E47FAC">
      <w:pPr>
        <w:rPr>
          <w:rFonts w:ascii="Times New Roman" w:hAnsi="Times New Roman" w:cs="Times New Roman"/>
          <w:noProof/>
          <w:sz w:val="26"/>
          <w:szCs w:val="26"/>
        </w:rPr>
      </w:pPr>
      <w:r w:rsidRPr="002464BB">
        <w:rPr>
          <w:rFonts w:ascii="Times New Roman" w:hAnsi="Times New Roman" w:cs="Times New Roman"/>
          <w:noProof/>
          <w:sz w:val="27"/>
          <w:szCs w:val="27"/>
        </w:rPr>
        <w:t xml:space="preserve">                                                        </w:t>
      </w:r>
      <w:r w:rsidRPr="002464BB">
        <w:rPr>
          <w:rFonts w:ascii="Times New Roman" w:hAnsi="Times New Roman" w:cs="Times New Roman"/>
          <w:noProof/>
          <w:sz w:val="26"/>
          <w:szCs w:val="26"/>
        </w:rPr>
        <w:t>р.п. Таврическое</w:t>
      </w:r>
    </w:p>
    <w:p w:rsidR="000337FC" w:rsidRPr="002464BB" w:rsidRDefault="0095190C" w:rsidP="0028289C">
      <w:pPr>
        <w:spacing w:after="0" w:line="276" w:lineRule="auto"/>
        <w:ind w:right="-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</w:t>
      </w:r>
      <w:proofErr w:type="gramStart"/>
      <w:r w:rsidR="00400362" w:rsidRPr="0024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оценки эффективности реализации </w:t>
      </w:r>
      <w:r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Таврического муниципального района Омской</w:t>
      </w:r>
      <w:proofErr w:type="gramEnd"/>
      <w:r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«</w:t>
      </w:r>
      <w:r w:rsidR="000337FC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поддержка населения, регулирование отношений </w:t>
      </w:r>
    </w:p>
    <w:p w:rsidR="000337FC" w:rsidRPr="002464BB" w:rsidRDefault="000337FC" w:rsidP="0028289C">
      <w:pPr>
        <w:spacing w:after="0" w:line="276" w:lineRule="auto"/>
        <w:ind w:right="-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труда и занятости населения и профилактика правонарушений </w:t>
      </w:r>
    </w:p>
    <w:p w:rsidR="0095190C" w:rsidRPr="002464BB" w:rsidRDefault="000337FC" w:rsidP="000337FC">
      <w:pPr>
        <w:spacing w:after="0" w:line="276" w:lineRule="auto"/>
        <w:ind w:right="-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</w:t>
      </w:r>
      <w:r w:rsidR="000F563E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95190C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</w:t>
      </w:r>
      <w:r w:rsidR="000F563E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190C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5190C" w:rsidRPr="002464BB" w:rsidRDefault="0095190C" w:rsidP="0028289C">
      <w:pPr>
        <w:spacing w:after="0" w:line="276" w:lineRule="auto"/>
        <w:ind w:right="-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90C" w:rsidRPr="002464BB" w:rsidRDefault="0095190C" w:rsidP="0028289C">
      <w:pPr>
        <w:autoSpaceDE w:val="0"/>
        <w:autoSpaceDN w:val="0"/>
        <w:adjustRightInd w:val="0"/>
        <w:spacing w:after="0" w:line="276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со ст.</w:t>
      </w:r>
      <w:r w:rsidR="00E4761D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179 Бюджетного кодекса Российской Федерации, постановлением Администрации Таврического муниципального района от 01 апреля 2016 г. № 297 «О внесении изменений в Порядок принятия решений о разработке муниципальных программ Таврического муниципального района Омской области, их формирования и реализации», руководствуясь Уставом Таврического муниципального района</w:t>
      </w:r>
      <w:r w:rsidR="001A738D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  <w:r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738D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ю</w:t>
      </w:r>
      <w:r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190C" w:rsidRPr="002464BB" w:rsidRDefault="0095190C" w:rsidP="0028289C">
      <w:pPr>
        <w:numPr>
          <w:ilvl w:val="0"/>
          <w:numId w:val="1"/>
        </w:numPr>
        <w:spacing w:after="0" w:line="276" w:lineRule="auto"/>
        <w:ind w:right="-15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прилагаемы</w:t>
      </w:r>
      <w:r w:rsidR="00400362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результаты </w:t>
      </w:r>
      <w:proofErr w:type="gramStart"/>
      <w:r w:rsidR="00400362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эффективности реализации </w:t>
      </w:r>
      <w:r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Таврического муниципального района Омской</w:t>
      </w:r>
      <w:proofErr w:type="gramEnd"/>
      <w:r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«</w:t>
      </w:r>
      <w:r w:rsidR="0028289C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 населения, регулирование отношений в сфере труда и занятости населения и профилактика правонарушений 2020-202</w:t>
      </w:r>
      <w:r w:rsidR="000F563E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8289C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0362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157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0F563E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30A64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приложениям</w:t>
      </w:r>
      <w:r w:rsidR="00F27D36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№№</w:t>
      </w:r>
      <w:r w:rsidR="00330A64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</w:t>
      </w:r>
      <w:r w:rsidR="007C5F3E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30A64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95190C" w:rsidRPr="002464BB" w:rsidRDefault="00330A64" w:rsidP="0028289C">
      <w:pPr>
        <w:spacing w:after="0" w:line="276" w:lineRule="auto"/>
        <w:ind w:left="-142" w:right="-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r w:rsidR="0095190C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="00027EF6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</w:t>
      </w:r>
      <w:r w:rsidR="0095190C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 w:rsidR="00027EF6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190C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="00777157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00362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95190C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F563E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190C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D96573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</w:t>
      </w:r>
      <w:r w:rsidR="0095190C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7397" w:rsidRPr="002464BB" w:rsidRDefault="00E16A45" w:rsidP="00497397">
      <w:pPr>
        <w:spacing w:after="0" w:line="240" w:lineRule="auto"/>
        <w:ind w:left="-142" w:right="-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397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Управлению культуры Администрации Таврического муниципального района Омской области как ответственному исполнителю муниципальной программы на основе проведенного анализа причин отклонений фактических значений показателей (ожидаемых результатов реализации муниципальной программы (подпрограмм), целевых </w:t>
      </w:r>
      <w:r w:rsidR="00497397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индикаторов) от плановых значений обеспечить внесение изменений в муниципальную программу в целях повышения ее эффективности не позднее 31 декабря 202</w:t>
      </w:r>
      <w:r w:rsidR="000F563E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7397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00362" w:rsidRPr="002464BB" w:rsidRDefault="00400362" w:rsidP="0028289C">
      <w:pPr>
        <w:spacing w:after="0" w:line="276" w:lineRule="auto"/>
        <w:ind w:left="-142" w:right="-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90C" w:rsidRPr="002464BB" w:rsidRDefault="0095190C" w:rsidP="0028289C">
      <w:pPr>
        <w:tabs>
          <w:tab w:val="left" w:pos="180"/>
        </w:tabs>
        <w:spacing w:after="0" w:line="276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62" w:rsidRPr="002464BB" w:rsidRDefault="00400362" w:rsidP="0028289C">
      <w:pPr>
        <w:tabs>
          <w:tab w:val="left" w:pos="180"/>
        </w:tabs>
        <w:spacing w:after="0" w:line="276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90C" w:rsidRPr="002464BB" w:rsidRDefault="0095190C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                          </w:t>
      </w:r>
      <w:r w:rsidR="0028289C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И. А. Баннов</w:t>
      </w:r>
    </w:p>
    <w:p w:rsidR="0028289C" w:rsidRPr="002464BB" w:rsidRDefault="0028289C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89C" w:rsidRPr="002464BB" w:rsidRDefault="0028289C" w:rsidP="007C5F3E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28289C" w:rsidRPr="002464BB" w:rsidRDefault="0028289C" w:rsidP="007C5F3E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sz w:val="28"/>
          <w:szCs w:val="28"/>
        </w:rPr>
        <w:t xml:space="preserve">к </w:t>
      </w:r>
      <w:r w:rsidR="00777157" w:rsidRPr="002464BB">
        <w:rPr>
          <w:rFonts w:ascii="Times New Roman" w:hAnsi="Times New Roman" w:cs="Times New Roman"/>
          <w:sz w:val="28"/>
          <w:szCs w:val="28"/>
        </w:rPr>
        <w:t>п</w:t>
      </w:r>
      <w:r w:rsidRPr="002464BB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28289C" w:rsidRPr="002464BB" w:rsidRDefault="0028289C" w:rsidP="007C5F3E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sz w:val="28"/>
          <w:szCs w:val="28"/>
        </w:rPr>
        <w:t xml:space="preserve">Администрации Таврического </w:t>
      </w:r>
    </w:p>
    <w:p w:rsidR="0028289C" w:rsidRPr="002464BB" w:rsidRDefault="0028289C" w:rsidP="007C5F3E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28289C" w:rsidRPr="002464BB" w:rsidRDefault="0028289C" w:rsidP="007C5F3E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sz w:val="28"/>
          <w:szCs w:val="28"/>
        </w:rPr>
        <w:t>от ________  № _______</w:t>
      </w:r>
    </w:p>
    <w:p w:rsidR="0028289C" w:rsidRPr="002464BB" w:rsidRDefault="0028289C" w:rsidP="002828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89C" w:rsidRPr="002464BB" w:rsidRDefault="0028289C" w:rsidP="007C5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8289C" w:rsidRPr="002464BB" w:rsidRDefault="0028289C" w:rsidP="007C5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sz w:val="28"/>
          <w:szCs w:val="28"/>
        </w:rPr>
        <w:t xml:space="preserve">к Отчету о результатах реализации муниципальной программы </w:t>
      </w:r>
    </w:p>
    <w:p w:rsidR="0028289C" w:rsidRPr="002464BB" w:rsidRDefault="0028289C" w:rsidP="007C5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sz w:val="28"/>
          <w:szCs w:val="28"/>
        </w:rPr>
        <w:t>«Социальная поддержка населения, регулирование отношений в сфере труда и занятости населения и профилактика правонарушений 2020-202</w:t>
      </w:r>
      <w:r w:rsidR="000F563E" w:rsidRPr="002464BB">
        <w:rPr>
          <w:rFonts w:ascii="Times New Roman" w:hAnsi="Times New Roman" w:cs="Times New Roman"/>
          <w:sz w:val="28"/>
          <w:szCs w:val="28"/>
        </w:rPr>
        <w:t>7</w:t>
      </w:r>
      <w:r w:rsidRPr="002464BB">
        <w:rPr>
          <w:rFonts w:ascii="Times New Roman" w:hAnsi="Times New Roman" w:cs="Times New Roman"/>
          <w:sz w:val="28"/>
          <w:szCs w:val="28"/>
        </w:rPr>
        <w:t xml:space="preserve"> годы» за 202</w:t>
      </w:r>
      <w:r w:rsidR="000F563E" w:rsidRPr="002464BB">
        <w:rPr>
          <w:rFonts w:ascii="Times New Roman" w:hAnsi="Times New Roman" w:cs="Times New Roman"/>
          <w:sz w:val="28"/>
          <w:szCs w:val="28"/>
        </w:rPr>
        <w:t>4</w:t>
      </w:r>
      <w:r w:rsidRPr="002464B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8289C" w:rsidRPr="002464BB" w:rsidRDefault="0028289C" w:rsidP="007C5F3E">
      <w:pPr>
        <w:spacing w:after="0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28289C" w:rsidRPr="002464BB" w:rsidRDefault="0028289C" w:rsidP="007C5F3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4BB">
        <w:rPr>
          <w:rFonts w:ascii="Times New Roman" w:hAnsi="Times New Roman" w:cs="Times New Roman"/>
          <w:sz w:val="28"/>
          <w:szCs w:val="28"/>
        </w:rPr>
        <w:t>В соответствии с Порядком принятия решений о разработке муниципальных программ Таврического муниципального района Омской области, их формирования и реализации, утвержденным  Постановлением Администрации Таврического муниципального района от 01.04.2016 г. № 297 (далее - Порядок), подготовлен отчет о реализации муниципальной программы «Социальная поддержка населения, регулирование отношений в сфере труда и занятости населения и профилактика правонарушений 2020-202</w:t>
      </w:r>
      <w:r w:rsidR="000F563E" w:rsidRPr="002464BB">
        <w:rPr>
          <w:rFonts w:ascii="Times New Roman" w:hAnsi="Times New Roman" w:cs="Times New Roman"/>
          <w:sz w:val="28"/>
          <w:szCs w:val="28"/>
        </w:rPr>
        <w:t>7</w:t>
      </w:r>
      <w:r w:rsidRPr="002464BB">
        <w:rPr>
          <w:rFonts w:ascii="Times New Roman" w:hAnsi="Times New Roman" w:cs="Times New Roman"/>
          <w:sz w:val="28"/>
          <w:szCs w:val="28"/>
        </w:rPr>
        <w:t xml:space="preserve"> годы» (далее – муниципальная программа) на 01 января 202</w:t>
      </w:r>
      <w:r w:rsidR="000F563E" w:rsidRPr="002464BB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2464BB">
        <w:rPr>
          <w:rFonts w:ascii="Times New Roman" w:hAnsi="Times New Roman" w:cs="Times New Roman"/>
          <w:sz w:val="28"/>
          <w:szCs w:val="28"/>
        </w:rPr>
        <w:t xml:space="preserve"> года и на его основании проведена оценка эффективности реализации муниципальной программы за 202</w:t>
      </w:r>
      <w:r w:rsidR="000F563E" w:rsidRPr="002464BB">
        <w:rPr>
          <w:rFonts w:ascii="Times New Roman" w:hAnsi="Times New Roman" w:cs="Times New Roman"/>
          <w:sz w:val="28"/>
          <w:szCs w:val="28"/>
        </w:rPr>
        <w:t>4</w:t>
      </w:r>
      <w:r w:rsidRPr="002464BB">
        <w:rPr>
          <w:rFonts w:ascii="Times New Roman" w:hAnsi="Times New Roman" w:cs="Times New Roman"/>
          <w:sz w:val="28"/>
          <w:szCs w:val="28"/>
        </w:rPr>
        <w:t xml:space="preserve"> год и за период 2020-202</w:t>
      </w:r>
      <w:r w:rsidR="000F563E" w:rsidRPr="002464BB">
        <w:rPr>
          <w:rFonts w:ascii="Times New Roman" w:hAnsi="Times New Roman" w:cs="Times New Roman"/>
          <w:sz w:val="28"/>
          <w:szCs w:val="28"/>
        </w:rPr>
        <w:t>4</w:t>
      </w:r>
      <w:r w:rsidRPr="002464BB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8289C" w:rsidRPr="002464BB" w:rsidRDefault="0028289C" w:rsidP="007C5F3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sz w:val="28"/>
          <w:szCs w:val="28"/>
        </w:rPr>
        <w:t>Исполнительно-распорядительный орган Таврического муниципального района Омской области, являющейся ответственным исполнителем муниципальной программы - Администрация Таврического муниципального района Омской области (далее Администрация). Исполнительно-распорядительного органа Таврического муниципального района Омской области, являющейся соисполнителем муниципальной программ</w:t>
      </w:r>
      <w:proofErr w:type="gramStart"/>
      <w:r w:rsidRPr="002464B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464BB">
        <w:rPr>
          <w:rFonts w:ascii="Times New Roman" w:hAnsi="Times New Roman" w:cs="Times New Roman"/>
          <w:sz w:val="28"/>
          <w:szCs w:val="28"/>
        </w:rPr>
        <w:t xml:space="preserve"> Управление культуры Администрации Таврического муниципального района Омской области. </w:t>
      </w:r>
    </w:p>
    <w:p w:rsidR="0028289C" w:rsidRPr="002464BB" w:rsidRDefault="0028289C" w:rsidP="007C5F3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4 подпрограммы, реализация которых направлена на </w:t>
      </w:r>
      <w:r w:rsidRPr="00246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условий для обеспечения </w:t>
      </w:r>
      <w:r w:rsidRPr="002464BB">
        <w:rPr>
          <w:rFonts w:ascii="Times New Roman" w:hAnsi="Times New Roman" w:cs="Times New Roman"/>
          <w:sz w:val="28"/>
          <w:szCs w:val="28"/>
        </w:rPr>
        <w:t xml:space="preserve">доступности и качества социальных услуг, </w:t>
      </w:r>
      <w:r w:rsidRPr="002464BB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эффективной занятости населения; </w:t>
      </w:r>
      <w:r w:rsidRPr="002464BB">
        <w:rPr>
          <w:rFonts w:ascii="Times New Roman" w:hAnsi="Times New Roman" w:cs="Times New Roman"/>
          <w:sz w:val="28"/>
          <w:szCs w:val="28"/>
        </w:rPr>
        <w:t>укрепление системы социальной профилактики правонарушений.</w:t>
      </w:r>
    </w:p>
    <w:p w:rsidR="0028289C" w:rsidRPr="002464BB" w:rsidRDefault="0028289C" w:rsidP="007C5F3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sz w:val="28"/>
          <w:szCs w:val="28"/>
        </w:rPr>
        <w:t>На реализацию мероприятий муниципальной программы за 202</w:t>
      </w:r>
      <w:r w:rsidR="000F563E" w:rsidRPr="002464BB">
        <w:rPr>
          <w:rFonts w:ascii="Times New Roman" w:hAnsi="Times New Roman" w:cs="Times New Roman"/>
          <w:sz w:val="28"/>
          <w:szCs w:val="28"/>
        </w:rPr>
        <w:t>4</w:t>
      </w:r>
      <w:r w:rsidRPr="002464BB">
        <w:rPr>
          <w:rFonts w:ascii="Times New Roman" w:hAnsi="Times New Roman" w:cs="Times New Roman"/>
          <w:sz w:val="28"/>
          <w:szCs w:val="28"/>
        </w:rPr>
        <w:t xml:space="preserve">  год направлено 8816489,40  рублей, из них за счет собственных доходов 3847898,39  рублей, областного бюджета -  4898454,01 рубля, поступлений целевого характера из бюджетов поселений Таврического муниципального района Омской области - 70137,00 рублей, средства иных источников </w:t>
      </w:r>
      <w:r w:rsidRPr="002464BB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составили –0 рублей. </w:t>
      </w:r>
    </w:p>
    <w:p w:rsidR="0028289C" w:rsidRPr="002464BB" w:rsidRDefault="0028289C" w:rsidP="007C5F3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4BB">
        <w:rPr>
          <w:rFonts w:ascii="Times New Roman" w:hAnsi="Times New Roman" w:cs="Times New Roman"/>
          <w:sz w:val="28"/>
          <w:szCs w:val="28"/>
        </w:rPr>
        <w:t>С целью улучшения демографической ситуации, положения семьи, граждан пожилого возраста, граждан с ограниченными возможностями здоровья на территории района реализуются мероприятия муниципальной подпрограммы  «Социальная поддержка населения», в рамках которой в 202</w:t>
      </w:r>
      <w:r w:rsidR="000F563E" w:rsidRPr="002464BB">
        <w:rPr>
          <w:rFonts w:ascii="Times New Roman" w:hAnsi="Times New Roman" w:cs="Times New Roman"/>
          <w:sz w:val="28"/>
          <w:szCs w:val="28"/>
        </w:rPr>
        <w:t>4</w:t>
      </w:r>
      <w:r w:rsidRPr="002464BB">
        <w:rPr>
          <w:rFonts w:ascii="Times New Roman" w:hAnsi="Times New Roman" w:cs="Times New Roman"/>
          <w:sz w:val="28"/>
          <w:szCs w:val="28"/>
        </w:rPr>
        <w:t xml:space="preserve">  году израсходовано  </w:t>
      </w:r>
      <w:r w:rsidR="00F50DE1" w:rsidRPr="002464BB">
        <w:rPr>
          <w:rFonts w:ascii="Times New Roman" w:hAnsi="Times New Roman" w:cs="Times New Roman"/>
          <w:sz w:val="28"/>
          <w:szCs w:val="28"/>
        </w:rPr>
        <w:t>6140946,07</w:t>
      </w:r>
      <w:r w:rsidRPr="002464BB">
        <w:rPr>
          <w:rFonts w:ascii="Times New Roman" w:hAnsi="Times New Roman" w:cs="Times New Roman"/>
          <w:sz w:val="28"/>
          <w:szCs w:val="28"/>
        </w:rPr>
        <w:t xml:space="preserve">  рублей, из них за счет собственных доходов </w:t>
      </w:r>
      <w:r w:rsidR="00F50DE1" w:rsidRPr="002464BB">
        <w:rPr>
          <w:rFonts w:ascii="Times New Roman" w:hAnsi="Times New Roman" w:cs="Times New Roman"/>
          <w:sz w:val="28"/>
          <w:szCs w:val="28"/>
        </w:rPr>
        <w:t>1462770,07</w:t>
      </w:r>
      <w:r w:rsidRPr="002464BB">
        <w:rPr>
          <w:rFonts w:ascii="Times New Roman" w:hAnsi="Times New Roman" w:cs="Times New Roman"/>
          <w:sz w:val="28"/>
          <w:szCs w:val="28"/>
        </w:rPr>
        <w:t xml:space="preserve"> рублей, областного бюджета-</w:t>
      </w:r>
      <w:r w:rsidR="00F50DE1" w:rsidRPr="002464BB">
        <w:rPr>
          <w:rFonts w:ascii="Times New Roman" w:hAnsi="Times New Roman" w:cs="Times New Roman"/>
          <w:sz w:val="28"/>
          <w:szCs w:val="28"/>
        </w:rPr>
        <w:t>4678176,00</w:t>
      </w:r>
      <w:r w:rsidRPr="002464BB">
        <w:rPr>
          <w:rFonts w:ascii="Times New Roman" w:hAnsi="Times New Roman" w:cs="Times New Roman"/>
          <w:sz w:val="28"/>
          <w:szCs w:val="28"/>
        </w:rPr>
        <w:t xml:space="preserve"> рублей, средств иных источников финансирования- 0,00 рублей.</w:t>
      </w:r>
      <w:proofErr w:type="gramEnd"/>
    </w:p>
    <w:p w:rsidR="0028289C" w:rsidRPr="002464BB" w:rsidRDefault="0028289C" w:rsidP="007C5F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464B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2464BB">
        <w:rPr>
          <w:rFonts w:ascii="Times New Roman" w:hAnsi="Times New Roman" w:cs="Times New Roman"/>
          <w:color w:val="474145"/>
          <w:sz w:val="28"/>
          <w:szCs w:val="28"/>
        </w:rPr>
        <w:t>с</w:t>
      </w:r>
      <w:r w:rsidRPr="002464BB">
        <w:rPr>
          <w:rFonts w:ascii="Times New Roman" w:hAnsi="Times New Roman" w:cs="Times New Roman"/>
          <w:sz w:val="28"/>
          <w:szCs w:val="28"/>
        </w:rPr>
        <w:t>нижения   уровня преступности  действует подпрограмма «Профилактика правонарушений и наркомании, предупреждение экстремизма и терроризма в Таврическом районе» на реализацию мероприятий подпрограммы  направлено в 202</w:t>
      </w:r>
      <w:r w:rsidR="000F563E" w:rsidRPr="002464BB">
        <w:rPr>
          <w:rFonts w:ascii="Times New Roman" w:hAnsi="Times New Roman" w:cs="Times New Roman"/>
          <w:sz w:val="28"/>
          <w:szCs w:val="28"/>
        </w:rPr>
        <w:t>4</w:t>
      </w:r>
      <w:r w:rsidRPr="002464BB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F50DE1" w:rsidRPr="002464BB">
        <w:rPr>
          <w:rFonts w:ascii="Times New Roman" w:hAnsi="Times New Roman" w:cs="Times New Roman"/>
          <w:sz w:val="28"/>
          <w:szCs w:val="28"/>
        </w:rPr>
        <w:t>250367,41</w:t>
      </w:r>
      <w:r w:rsidRPr="002464BB">
        <w:rPr>
          <w:rFonts w:ascii="Times New Roman" w:hAnsi="Times New Roman" w:cs="Times New Roman"/>
          <w:sz w:val="28"/>
          <w:szCs w:val="28"/>
        </w:rPr>
        <w:t xml:space="preserve"> рублей, из них за счет собственных доходов </w:t>
      </w:r>
      <w:r w:rsidR="00F50DE1" w:rsidRPr="002464BB">
        <w:rPr>
          <w:rFonts w:ascii="Times New Roman" w:hAnsi="Times New Roman" w:cs="Times New Roman"/>
          <w:sz w:val="28"/>
          <w:szCs w:val="28"/>
        </w:rPr>
        <w:t>180230,41</w:t>
      </w:r>
      <w:r w:rsidRPr="002464BB">
        <w:rPr>
          <w:rFonts w:ascii="Times New Roman" w:hAnsi="Times New Roman" w:cs="Times New Roman"/>
          <w:sz w:val="28"/>
          <w:szCs w:val="28"/>
        </w:rPr>
        <w:t xml:space="preserve"> рублей, областного бюджета -  0,00 рублей, поступлений целевого характера из бюджетов поселений Таврического муниципального района Омской области –</w:t>
      </w:r>
      <w:r w:rsidR="00F50DE1" w:rsidRPr="002464BB">
        <w:rPr>
          <w:rFonts w:ascii="Times New Roman" w:hAnsi="Times New Roman" w:cs="Times New Roman"/>
          <w:sz w:val="28"/>
          <w:szCs w:val="28"/>
        </w:rPr>
        <w:t>70137</w:t>
      </w:r>
      <w:r w:rsidRPr="002464BB">
        <w:rPr>
          <w:rFonts w:ascii="Times New Roman" w:hAnsi="Times New Roman" w:cs="Times New Roman"/>
          <w:sz w:val="28"/>
          <w:szCs w:val="28"/>
        </w:rPr>
        <w:t xml:space="preserve">,00 рублей. </w:t>
      </w:r>
      <w:proofErr w:type="gramEnd"/>
    </w:p>
    <w:p w:rsidR="0028289C" w:rsidRPr="002464BB" w:rsidRDefault="0028289C" w:rsidP="007C5F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sz w:val="28"/>
          <w:szCs w:val="28"/>
        </w:rPr>
        <w:t>Основной целью реализации подпрограммы "</w:t>
      </w:r>
      <w:r w:rsidRPr="002464BB">
        <w:rPr>
          <w:rFonts w:ascii="Times New Roman" w:hAnsi="Times New Roman" w:cs="Times New Roman"/>
          <w:color w:val="000000"/>
          <w:sz w:val="28"/>
          <w:szCs w:val="28"/>
        </w:rPr>
        <w:t>Регулирование отношений в сфере труда и занятости населения</w:t>
      </w:r>
      <w:r w:rsidRPr="002464BB">
        <w:rPr>
          <w:rFonts w:ascii="Times New Roman" w:hAnsi="Times New Roman" w:cs="Times New Roman"/>
          <w:sz w:val="28"/>
          <w:szCs w:val="28"/>
        </w:rPr>
        <w:t>" является с</w:t>
      </w:r>
      <w:r w:rsidRPr="002464BB">
        <w:rPr>
          <w:rFonts w:ascii="Times New Roman" w:hAnsi="Times New Roman" w:cs="Times New Roman"/>
          <w:color w:val="000000"/>
          <w:sz w:val="28"/>
          <w:szCs w:val="28"/>
        </w:rPr>
        <w:t>нижение уровня общей безработицы и профессиональных рисков в системе охраны труда</w:t>
      </w:r>
      <w:r w:rsidRPr="002464BB">
        <w:rPr>
          <w:rFonts w:ascii="Times New Roman" w:hAnsi="Times New Roman" w:cs="Times New Roman"/>
          <w:sz w:val="28"/>
          <w:szCs w:val="28"/>
        </w:rPr>
        <w:t>.</w:t>
      </w:r>
    </w:p>
    <w:p w:rsidR="0028289C" w:rsidRPr="002464BB" w:rsidRDefault="0028289C" w:rsidP="007C5F3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eastAsia="Calibri" w:hAnsi="Times New Roman" w:cs="Times New Roman"/>
          <w:sz w:val="28"/>
          <w:szCs w:val="28"/>
        </w:rPr>
        <w:t xml:space="preserve">На реализацию мероприятий подпрограммы направлено всего – </w:t>
      </w:r>
      <w:r w:rsidR="00F50DE1" w:rsidRPr="002464BB">
        <w:rPr>
          <w:rFonts w:ascii="Times New Roman" w:eastAsia="Calibri" w:hAnsi="Times New Roman" w:cs="Times New Roman"/>
          <w:sz w:val="28"/>
          <w:szCs w:val="28"/>
        </w:rPr>
        <w:t>1662282,00</w:t>
      </w:r>
      <w:r w:rsidRPr="002464BB">
        <w:rPr>
          <w:rFonts w:ascii="Times New Roman" w:eastAsia="Calibri" w:hAnsi="Times New Roman" w:cs="Times New Roman"/>
          <w:sz w:val="28"/>
          <w:szCs w:val="28"/>
        </w:rPr>
        <w:t xml:space="preserve">  рубл</w:t>
      </w:r>
      <w:r w:rsidR="00F50DE1" w:rsidRPr="002464BB">
        <w:rPr>
          <w:rFonts w:ascii="Times New Roman" w:eastAsia="Calibri" w:hAnsi="Times New Roman" w:cs="Times New Roman"/>
          <w:sz w:val="28"/>
          <w:szCs w:val="28"/>
        </w:rPr>
        <w:t>я</w:t>
      </w:r>
      <w:r w:rsidRPr="002464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464BB">
        <w:rPr>
          <w:rFonts w:ascii="Times New Roman" w:hAnsi="Times New Roman" w:cs="Times New Roman"/>
          <w:sz w:val="28"/>
          <w:szCs w:val="28"/>
        </w:rPr>
        <w:t xml:space="preserve"> из них за счет собственных доходов </w:t>
      </w:r>
      <w:r w:rsidR="00F50DE1" w:rsidRPr="002464BB">
        <w:rPr>
          <w:rFonts w:ascii="Times New Roman" w:hAnsi="Times New Roman" w:cs="Times New Roman"/>
          <w:sz w:val="28"/>
          <w:szCs w:val="28"/>
        </w:rPr>
        <w:t>1662282,00</w:t>
      </w:r>
      <w:r w:rsidRPr="002464BB">
        <w:rPr>
          <w:rFonts w:ascii="Times New Roman" w:hAnsi="Times New Roman" w:cs="Times New Roman"/>
          <w:sz w:val="28"/>
          <w:szCs w:val="28"/>
        </w:rPr>
        <w:t xml:space="preserve"> рубл</w:t>
      </w:r>
      <w:r w:rsidR="00F50DE1" w:rsidRPr="002464BB">
        <w:rPr>
          <w:rFonts w:ascii="Times New Roman" w:hAnsi="Times New Roman" w:cs="Times New Roman"/>
          <w:sz w:val="28"/>
          <w:szCs w:val="28"/>
        </w:rPr>
        <w:t>я</w:t>
      </w:r>
      <w:r w:rsidRPr="002464BB">
        <w:rPr>
          <w:rFonts w:ascii="Times New Roman" w:hAnsi="Times New Roman" w:cs="Times New Roman"/>
          <w:sz w:val="28"/>
          <w:szCs w:val="28"/>
        </w:rPr>
        <w:t>, областного бюджета</w:t>
      </w:r>
      <w:r w:rsidR="00F50DE1" w:rsidRPr="002464BB">
        <w:rPr>
          <w:rFonts w:ascii="Times New Roman" w:hAnsi="Times New Roman" w:cs="Times New Roman"/>
          <w:sz w:val="28"/>
          <w:szCs w:val="28"/>
        </w:rPr>
        <w:t xml:space="preserve"> -</w:t>
      </w:r>
      <w:r w:rsidRPr="002464BB">
        <w:rPr>
          <w:rFonts w:ascii="Times New Roman" w:hAnsi="Times New Roman" w:cs="Times New Roman"/>
          <w:sz w:val="28"/>
          <w:szCs w:val="28"/>
        </w:rPr>
        <w:t xml:space="preserve"> </w:t>
      </w:r>
      <w:r w:rsidR="00F50DE1" w:rsidRPr="002464BB">
        <w:rPr>
          <w:rFonts w:ascii="Times New Roman" w:hAnsi="Times New Roman" w:cs="Times New Roman"/>
          <w:sz w:val="28"/>
          <w:szCs w:val="28"/>
        </w:rPr>
        <w:t>0,00</w:t>
      </w:r>
      <w:r w:rsidRPr="002464B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50DE1" w:rsidRPr="002464BB">
        <w:rPr>
          <w:rFonts w:ascii="Times New Roman" w:hAnsi="Times New Roman" w:cs="Times New Roman"/>
          <w:sz w:val="28"/>
          <w:szCs w:val="28"/>
        </w:rPr>
        <w:t>, средств иных источников финансирования- 0,00 рублей.</w:t>
      </w:r>
    </w:p>
    <w:p w:rsidR="0028289C" w:rsidRPr="002464BB" w:rsidRDefault="0028289C" w:rsidP="007C5F3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sz w:val="28"/>
          <w:szCs w:val="28"/>
        </w:rPr>
        <w:t xml:space="preserve">С целью создать условия для эффективного участия некоммерческих организаций в социально-экономическом развитии района Администрация района оказывает финансовую поддержку СОНКО, ежегодно выделяя субсидию из местного бюджета в размере более </w:t>
      </w:r>
      <w:r w:rsidR="00F50DE1" w:rsidRPr="002464BB">
        <w:rPr>
          <w:rFonts w:ascii="Times New Roman" w:hAnsi="Times New Roman" w:cs="Times New Roman"/>
          <w:sz w:val="28"/>
          <w:szCs w:val="28"/>
        </w:rPr>
        <w:t>4</w:t>
      </w:r>
      <w:r w:rsidRPr="002464BB">
        <w:rPr>
          <w:rFonts w:ascii="Times New Roman" w:hAnsi="Times New Roman" w:cs="Times New Roman"/>
          <w:sz w:val="28"/>
          <w:szCs w:val="28"/>
        </w:rPr>
        <w:t>00 тыс. рублей. В 202</w:t>
      </w:r>
      <w:r w:rsidR="000F563E" w:rsidRPr="002464BB">
        <w:rPr>
          <w:rFonts w:ascii="Times New Roman" w:hAnsi="Times New Roman" w:cs="Times New Roman"/>
          <w:sz w:val="28"/>
          <w:szCs w:val="28"/>
        </w:rPr>
        <w:t>4</w:t>
      </w:r>
      <w:r w:rsidRPr="002464BB">
        <w:rPr>
          <w:rFonts w:ascii="Times New Roman" w:hAnsi="Times New Roman" w:cs="Times New Roman"/>
          <w:sz w:val="28"/>
          <w:szCs w:val="28"/>
        </w:rPr>
        <w:t xml:space="preserve"> году на реализацию </w:t>
      </w:r>
      <w:r w:rsidRPr="002464BB">
        <w:rPr>
          <w:rFonts w:ascii="Times New Roman" w:hAnsi="Times New Roman" w:cs="Times New Roman"/>
          <w:color w:val="000000"/>
          <w:sz w:val="28"/>
          <w:szCs w:val="28"/>
        </w:rPr>
        <w:t>социально-значимых проектов на территории Таврического муниципального района</w:t>
      </w:r>
      <w:r w:rsidRPr="002464BB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 было выделено </w:t>
      </w:r>
      <w:r w:rsidR="00F50DE1" w:rsidRPr="002464BB">
        <w:rPr>
          <w:rFonts w:ascii="Times New Roman" w:hAnsi="Times New Roman" w:cs="Times New Roman"/>
          <w:sz w:val="28"/>
          <w:szCs w:val="28"/>
        </w:rPr>
        <w:t>762893,92</w:t>
      </w:r>
      <w:r w:rsidRPr="002464BB">
        <w:rPr>
          <w:rFonts w:ascii="Times New Roman" w:hAnsi="Times New Roman" w:cs="Times New Roman"/>
          <w:sz w:val="28"/>
          <w:szCs w:val="28"/>
        </w:rPr>
        <w:t xml:space="preserve"> рублей. В рамках подпрограммы  субсидию получили </w:t>
      </w:r>
      <w:r w:rsidR="00F50DE1" w:rsidRPr="002464BB">
        <w:rPr>
          <w:rFonts w:ascii="Times New Roman" w:hAnsi="Times New Roman" w:cs="Times New Roman"/>
          <w:sz w:val="28"/>
          <w:szCs w:val="28"/>
        </w:rPr>
        <w:t>7</w:t>
      </w:r>
      <w:r w:rsidRPr="002464BB">
        <w:rPr>
          <w:rFonts w:ascii="Times New Roman" w:hAnsi="Times New Roman" w:cs="Times New Roman"/>
          <w:sz w:val="28"/>
          <w:szCs w:val="28"/>
        </w:rPr>
        <w:t xml:space="preserve"> некоммерческих организации. </w:t>
      </w:r>
    </w:p>
    <w:p w:rsidR="0028289C" w:rsidRPr="002464BB" w:rsidRDefault="0028289C" w:rsidP="007C5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sz w:val="28"/>
          <w:szCs w:val="28"/>
        </w:rPr>
        <w:t xml:space="preserve">         В 202</w:t>
      </w:r>
      <w:r w:rsidR="000F563E" w:rsidRPr="002464BB">
        <w:rPr>
          <w:rFonts w:ascii="Times New Roman" w:hAnsi="Times New Roman" w:cs="Times New Roman"/>
          <w:sz w:val="28"/>
          <w:szCs w:val="28"/>
        </w:rPr>
        <w:t>4</w:t>
      </w:r>
      <w:r w:rsidRPr="002464BB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2464BB">
        <w:rPr>
          <w:rFonts w:ascii="Times New Roman" w:hAnsi="Times New Roman" w:cs="Times New Roman"/>
          <w:sz w:val="28"/>
          <w:szCs w:val="28"/>
        </w:rPr>
        <w:t>не достигнут</w:t>
      </w:r>
      <w:proofErr w:type="gramEnd"/>
      <w:r w:rsidRPr="002464BB">
        <w:rPr>
          <w:rFonts w:ascii="Times New Roman" w:hAnsi="Times New Roman" w:cs="Times New Roman"/>
          <w:sz w:val="28"/>
          <w:szCs w:val="28"/>
        </w:rPr>
        <w:t xml:space="preserve"> ожидаемый результат эффективности реализации муниципальной программы: стабилизировать численность населения района на уровне не менее 34.5 тыс. человек. Число умерших (4</w:t>
      </w:r>
      <w:r w:rsidR="000A4AE9" w:rsidRPr="002464BB">
        <w:rPr>
          <w:rFonts w:ascii="Times New Roman" w:hAnsi="Times New Roman" w:cs="Times New Roman"/>
          <w:sz w:val="28"/>
          <w:szCs w:val="28"/>
        </w:rPr>
        <w:t>67</w:t>
      </w:r>
      <w:r w:rsidRPr="002464BB">
        <w:rPr>
          <w:rFonts w:ascii="Times New Roman" w:hAnsi="Times New Roman" w:cs="Times New Roman"/>
          <w:sz w:val="28"/>
          <w:szCs w:val="28"/>
        </w:rPr>
        <w:t xml:space="preserve"> человек) превышает число родившихся (30</w:t>
      </w:r>
      <w:r w:rsidR="000A4AE9" w:rsidRPr="002464BB">
        <w:rPr>
          <w:rFonts w:ascii="Times New Roman" w:hAnsi="Times New Roman" w:cs="Times New Roman"/>
          <w:sz w:val="28"/>
          <w:szCs w:val="28"/>
        </w:rPr>
        <w:t>7</w:t>
      </w:r>
      <w:r w:rsidRPr="002464BB">
        <w:rPr>
          <w:rFonts w:ascii="Times New Roman" w:hAnsi="Times New Roman" w:cs="Times New Roman"/>
          <w:sz w:val="28"/>
          <w:szCs w:val="28"/>
        </w:rPr>
        <w:t xml:space="preserve"> человек), количество человек, выехавших из района (</w:t>
      </w:r>
      <w:r w:rsidR="000A4AE9" w:rsidRPr="002464BB">
        <w:rPr>
          <w:rFonts w:ascii="Times New Roman" w:hAnsi="Times New Roman" w:cs="Times New Roman"/>
          <w:sz w:val="28"/>
          <w:szCs w:val="28"/>
        </w:rPr>
        <w:t>943</w:t>
      </w:r>
      <w:r w:rsidRPr="002464BB">
        <w:rPr>
          <w:rFonts w:ascii="Times New Roman" w:hAnsi="Times New Roman" w:cs="Times New Roman"/>
          <w:sz w:val="28"/>
          <w:szCs w:val="28"/>
        </w:rPr>
        <w:t>) превышает количество прибывших (8</w:t>
      </w:r>
      <w:r w:rsidR="000A4AE9" w:rsidRPr="002464BB">
        <w:rPr>
          <w:rFonts w:ascii="Times New Roman" w:hAnsi="Times New Roman" w:cs="Times New Roman"/>
          <w:sz w:val="28"/>
          <w:szCs w:val="28"/>
        </w:rPr>
        <w:t>84</w:t>
      </w:r>
      <w:r w:rsidRPr="002464BB">
        <w:rPr>
          <w:rFonts w:ascii="Times New Roman" w:hAnsi="Times New Roman" w:cs="Times New Roman"/>
          <w:sz w:val="28"/>
          <w:szCs w:val="28"/>
        </w:rPr>
        <w:t>).    Степень достижения значения ожидаемого результата данного показателя составляет -97%.</w:t>
      </w:r>
    </w:p>
    <w:p w:rsidR="0028289C" w:rsidRPr="002464BB" w:rsidRDefault="0028289C" w:rsidP="007C5F3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4BB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2464BB">
        <w:rPr>
          <w:rFonts w:ascii="Times New Roman" w:hAnsi="Times New Roman" w:cs="Times New Roman"/>
          <w:sz w:val="28"/>
          <w:szCs w:val="28"/>
        </w:rPr>
        <w:t>Уровень общей безработицы в 202</w:t>
      </w:r>
      <w:r w:rsidR="000F563E" w:rsidRPr="002464BB">
        <w:rPr>
          <w:rFonts w:ascii="Times New Roman" w:hAnsi="Times New Roman" w:cs="Times New Roman"/>
          <w:sz w:val="28"/>
          <w:szCs w:val="28"/>
        </w:rPr>
        <w:t>4</w:t>
      </w:r>
      <w:r w:rsidRPr="002464BB">
        <w:rPr>
          <w:rFonts w:ascii="Times New Roman" w:hAnsi="Times New Roman" w:cs="Times New Roman"/>
          <w:sz w:val="28"/>
          <w:szCs w:val="28"/>
        </w:rPr>
        <w:t xml:space="preserve"> году по Таврическому муниципальному району составил 6,</w:t>
      </w:r>
      <w:r w:rsidR="002464BB" w:rsidRPr="002464BB">
        <w:rPr>
          <w:rFonts w:ascii="Times New Roman" w:hAnsi="Times New Roman" w:cs="Times New Roman"/>
          <w:sz w:val="28"/>
          <w:szCs w:val="28"/>
        </w:rPr>
        <w:t>1</w:t>
      </w:r>
      <w:r w:rsidRPr="002464BB">
        <w:rPr>
          <w:rFonts w:ascii="Times New Roman" w:hAnsi="Times New Roman" w:cs="Times New Roman"/>
          <w:sz w:val="28"/>
          <w:szCs w:val="28"/>
        </w:rPr>
        <w:t xml:space="preserve"> % .</w:t>
      </w:r>
    </w:p>
    <w:p w:rsidR="0028289C" w:rsidRPr="002464BB" w:rsidRDefault="0028289C" w:rsidP="007C5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sz w:val="28"/>
          <w:szCs w:val="28"/>
        </w:rPr>
        <w:lastRenderedPageBreak/>
        <w:t xml:space="preserve">       Степень достижения значения ожидаемого результата данного показателя составляет -9</w:t>
      </w:r>
      <w:r w:rsidR="000A4AE9" w:rsidRPr="002464BB">
        <w:rPr>
          <w:rFonts w:ascii="Times New Roman" w:hAnsi="Times New Roman" w:cs="Times New Roman"/>
          <w:sz w:val="28"/>
          <w:szCs w:val="28"/>
        </w:rPr>
        <w:t>5</w:t>
      </w:r>
      <w:r w:rsidRPr="002464BB">
        <w:rPr>
          <w:rFonts w:ascii="Times New Roman" w:hAnsi="Times New Roman" w:cs="Times New Roman"/>
          <w:sz w:val="28"/>
          <w:szCs w:val="28"/>
        </w:rPr>
        <w:t>%.</w:t>
      </w:r>
    </w:p>
    <w:p w:rsidR="0028289C" w:rsidRPr="002464BB" w:rsidRDefault="0028289C" w:rsidP="007C5F3E">
      <w:pPr>
        <w:tabs>
          <w:tab w:val="num" w:pos="0"/>
          <w:tab w:val="num" w:pos="72"/>
          <w:tab w:val="left" w:pos="447"/>
        </w:tabs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4BB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достижения  значения ожидаемого результата муниципальной подпрограммы «Профилактика правонарушений и наркомании,  предупреждение экстремизма и терроризма  в Таврическом районе» составляет </w:t>
      </w:r>
      <w:r w:rsidR="007D606C" w:rsidRPr="002464BB">
        <w:rPr>
          <w:rFonts w:ascii="Times New Roman" w:hAnsi="Times New Roman" w:cs="Times New Roman"/>
          <w:color w:val="000000"/>
          <w:sz w:val="28"/>
          <w:szCs w:val="28"/>
        </w:rPr>
        <w:t>98,17</w:t>
      </w:r>
      <w:r w:rsidRPr="002464BB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28289C" w:rsidRPr="002464BB" w:rsidRDefault="0028289C" w:rsidP="007C5F3E">
      <w:pPr>
        <w:tabs>
          <w:tab w:val="num" w:pos="0"/>
          <w:tab w:val="num" w:pos="72"/>
          <w:tab w:val="left" w:pos="447"/>
        </w:tabs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4BB">
        <w:rPr>
          <w:rFonts w:ascii="Times New Roman" w:hAnsi="Times New Roman" w:cs="Times New Roman"/>
          <w:color w:val="000000"/>
          <w:sz w:val="28"/>
          <w:szCs w:val="28"/>
        </w:rPr>
        <w:t xml:space="preserve"> За 12 месяцев 202</w:t>
      </w:r>
      <w:r w:rsidR="000F563E" w:rsidRPr="002464B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64BB">
        <w:rPr>
          <w:rFonts w:ascii="Times New Roman" w:hAnsi="Times New Roman" w:cs="Times New Roman"/>
          <w:color w:val="000000"/>
          <w:sz w:val="28"/>
          <w:szCs w:val="28"/>
        </w:rPr>
        <w:t xml:space="preserve"> года на территории района зарегистрировано 3</w:t>
      </w:r>
      <w:r w:rsidR="007D606C" w:rsidRPr="002464BB">
        <w:rPr>
          <w:rFonts w:ascii="Times New Roman" w:hAnsi="Times New Roman" w:cs="Times New Roman"/>
          <w:color w:val="000000"/>
          <w:sz w:val="28"/>
          <w:szCs w:val="28"/>
        </w:rPr>
        <w:t>85</w:t>
      </w:r>
      <w:r w:rsidRPr="002464BB">
        <w:rPr>
          <w:rFonts w:ascii="Times New Roman" w:hAnsi="Times New Roman" w:cs="Times New Roman"/>
          <w:color w:val="000000"/>
          <w:sz w:val="28"/>
          <w:szCs w:val="28"/>
        </w:rPr>
        <w:t xml:space="preserve"> преступлений (АППГ-3</w:t>
      </w:r>
      <w:r w:rsidR="007D606C" w:rsidRPr="002464BB">
        <w:rPr>
          <w:rFonts w:ascii="Times New Roman" w:hAnsi="Times New Roman" w:cs="Times New Roman"/>
          <w:color w:val="000000"/>
          <w:sz w:val="28"/>
          <w:szCs w:val="28"/>
        </w:rPr>
        <w:t>53</w:t>
      </w:r>
      <w:r w:rsidRPr="002464BB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7D606C" w:rsidRPr="002464BB">
        <w:rPr>
          <w:rFonts w:ascii="Times New Roman" w:hAnsi="Times New Roman" w:cs="Times New Roman"/>
          <w:color w:val="000000"/>
          <w:sz w:val="28"/>
          <w:szCs w:val="28"/>
        </w:rPr>
        <w:t xml:space="preserve"> Произошло</w:t>
      </w:r>
      <w:r w:rsidRPr="00246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606C" w:rsidRPr="002464BB">
        <w:rPr>
          <w:rFonts w:ascii="Times New Roman" w:hAnsi="Times New Roman" w:cs="Times New Roman"/>
          <w:color w:val="000000"/>
          <w:sz w:val="28"/>
          <w:szCs w:val="28"/>
        </w:rPr>
        <w:t>снижение</w:t>
      </w:r>
      <w:r w:rsidRPr="002464BB"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зарегистрированных преступлений в общественных местах -</w:t>
      </w:r>
      <w:r w:rsidR="007D606C" w:rsidRPr="002464BB"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Pr="002464BB">
        <w:rPr>
          <w:rFonts w:ascii="Times New Roman" w:hAnsi="Times New Roman" w:cs="Times New Roman"/>
          <w:color w:val="000000"/>
          <w:sz w:val="28"/>
          <w:szCs w:val="28"/>
        </w:rPr>
        <w:t xml:space="preserve"> преступлений (АППГ 7</w:t>
      </w:r>
      <w:r w:rsidR="007D606C" w:rsidRPr="002464B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464B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8289C" w:rsidRPr="002464BB" w:rsidRDefault="0028289C" w:rsidP="007C5F3E">
      <w:pPr>
        <w:tabs>
          <w:tab w:val="num" w:pos="0"/>
          <w:tab w:val="num" w:pos="72"/>
          <w:tab w:val="left" w:pos="447"/>
        </w:tabs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4BB">
        <w:rPr>
          <w:rFonts w:ascii="Times New Roman" w:hAnsi="Times New Roman" w:cs="Times New Roman"/>
          <w:color w:val="000000"/>
          <w:sz w:val="28"/>
          <w:szCs w:val="28"/>
        </w:rPr>
        <w:t xml:space="preserve">  Степень достижения  значения ожидаемого результата муниципальной подпрограммы «Регулирование отношений в сфере труда и занятости населения» составляет 8</w:t>
      </w:r>
      <w:r w:rsidR="007D606C" w:rsidRPr="002464B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464BB">
        <w:rPr>
          <w:rFonts w:ascii="Times New Roman" w:hAnsi="Times New Roman" w:cs="Times New Roman"/>
          <w:color w:val="000000"/>
          <w:sz w:val="28"/>
          <w:szCs w:val="28"/>
        </w:rPr>
        <w:t xml:space="preserve">,5%. </w:t>
      </w:r>
    </w:p>
    <w:p w:rsidR="0028289C" w:rsidRPr="002464BB" w:rsidRDefault="0028289C" w:rsidP="007C5F3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sz w:val="28"/>
          <w:szCs w:val="28"/>
        </w:rPr>
        <w:t>Удельный вес коллективных договоров, заключенных профсоюзами в общем количестве заключенных коллективных договоров  составляет 6</w:t>
      </w:r>
      <w:r w:rsidR="007D606C" w:rsidRPr="002464BB">
        <w:rPr>
          <w:rFonts w:ascii="Times New Roman" w:hAnsi="Times New Roman" w:cs="Times New Roman"/>
          <w:sz w:val="28"/>
          <w:szCs w:val="28"/>
        </w:rPr>
        <w:t>7</w:t>
      </w:r>
      <w:r w:rsidRPr="002464BB">
        <w:rPr>
          <w:rFonts w:ascii="Times New Roman" w:hAnsi="Times New Roman" w:cs="Times New Roman"/>
          <w:sz w:val="28"/>
          <w:szCs w:val="28"/>
        </w:rPr>
        <w:t>%. Это объясняется тем, что не во всех малых организациях (учреждениях) Таврического муниципального района созданы профсоюзные объединения.</w:t>
      </w:r>
    </w:p>
    <w:p w:rsidR="0028289C" w:rsidRPr="002464BB" w:rsidRDefault="0028289C" w:rsidP="007C5F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4BB">
        <w:rPr>
          <w:rFonts w:ascii="Times New Roman" w:hAnsi="Times New Roman" w:cs="Times New Roman"/>
          <w:bCs/>
          <w:sz w:val="28"/>
          <w:szCs w:val="28"/>
        </w:rPr>
        <w:t>Согласно Порядка</w:t>
      </w:r>
      <w:proofErr w:type="gramEnd"/>
      <w:r w:rsidRPr="00246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4BB">
        <w:rPr>
          <w:rFonts w:ascii="Times New Roman" w:hAnsi="Times New Roman" w:cs="Times New Roman"/>
          <w:sz w:val="28"/>
          <w:szCs w:val="28"/>
        </w:rPr>
        <w:t>расчет оценки эффективности реализации муниципальной программы осуществляется путем сопоставления эффективности реализации муниципальной программы по целевым индикаторам мероприятий (далее - Е) с итоговой степенью достижения плановых значений ожидаемых результатов реализации муниципальной программы (далее -</w:t>
      </w:r>
      <w:r w:rsidRPr="002464B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464BB">
        <w:rPr>
          <w:rFonts w:ascii="Times New Roman" w:hAnsi="Times New Roman" w:cs="Times New Roman"/>
          <w:sz w:val="28"/>
          <w:szCs w:val="28"/>
        </w:rPr>
        <w:t xml:space="preserve">). При проведении расчетов получены следующие результаты </w:t>
      </w:r>
      <w:r w:rsidRPr="002464B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464BB">
        <w:rPr>
          <w:rFonts w:ascii="Times New Roman" w:hAnsi="Times New Roman" w:cs="Times New Roman"/>
          <w:sz w:val="28"/>
          <w:szCs w:val="28"/>
          <w:vertAlign w:val="subscript"/>
        </w:rPr>
        <w:t>202</w:t>
      </w:r>
      <w:r w:rsidR="007D606C" w:rsidRPr="002464B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464BB">
        <w:rPr>
          <w:rFonts w:ascii="Times New Roman" w:hAnsi="Times New Roman" w:cs="Times New Roman"/>
          <w:sz w:val="28"/>
          <w:szCs w:val="28"/>
        </w:rPr>
        <w:t xml:space="preserve"> –</w:t>
      </w:r>
      <w:r w:rsidR="003C507C" w:rsidRPr="002464BB">
        <w:rPr>
          <w:rFonts w:ascii="Times New Roman" w:hAnsi="Times New Roman" w:cs="Times New Roman"/>
          <w:sz w:val="28"/>
          <w:szCs w:val="28"/>
        </w:rPr>
        <w:t>100</w:t>
      </w:r>
      <w:r w:rsidRPr="002464BB">
        <w:rPr>
          <w:rFonts w:ascii="Times New Roman" w:hAnsi="Times New Roman" w:cs="Times New Roman"/>
          <w:sz w:val="28"/>
          <w:szCs w:val="28"/>
        </w:rPr>
        <w:t>%; R</w:t>
      </w:r>
      <w:r w:rsidRPr="002464BB">
        <w:rPr>
          <w:rFonts w:ascii="Times New Roman" w:hAnsi="Times New Roman" w:cs="Times New Roman"/>
          <w:sz w:val="28"/>
          <w:szCs w:val="28"/>
          <w:vertAlign w:val="subscript"/>
        </w:rPr>
        <w:t>202</w:t>
      </w:r>
      <w:r w:rsidR="007D606C" w:rsidRPr="002464B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464B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464BB">
        <w:rPr>
          <w:rFonts w:ascii="Times New Roman" w:hAnsi="Times New Roman" w:cs="Times New Roman"/>
          <w:sz w:val="28"/>
          <w:szCs w:val="28"/>
        </w:rPr>
        <w:t xml:space="preserve">– </w:t>
      </w:r>
      <w:r w:rsidR="003C507C" w:rsidRPr="002464BB">
        <w:rPr>
          <w:rFonts w:ascii="Times New Roman" w:hAnsi="Times New Roman" w:cs="Times New Roman"/>
          <w:sz w:val="28"/>
          <w:szCs w:val="28"/>
        </w:rPr>
        <w:t>96,96</w:t>
      </w:r>
      <w:r w:rsidRPr="002464BB">
        <w:rPr>
          <w:rFonts w:ascii="Times New Roman" w:hAnsi="Times New Roman" w:cs="Times New Roman"/>
          <w:sz w:val="28"/>
          <w:szCs w:val="28"/>
        </w:rPr>
        <w:t xml:space="preserve"> % (</w:t>
      </w:r>
      <w:r w:rsidR="00B35E9F" w:rsidRPr="002464BB">
        <w:rPr>
          <w:rFonts w:ascii="Times New Roman" w:hAnsi="Times New Roman" w:cs="Times New Roman"/>
          <w:sz w:val="28"/>
          <w:szCs w:val="28"/>
        </w:rPr>
        <w:t>Е = 100 процентов, 90 &lt;= R &lt;= 100 процентов</w:t>
      </w:r>
      <w:r w:rsidRPr="002464BB">
        <w:rPr>
          <w:rFonts w:ascii="Times New Roman" w:hAnsi="Times New Roman" w:cs="Times New Roman"/>
          <w:sz w:val="28"/>
          <w:szCs w:val="28"/>
        </w:rPr>
        <w:t>).</w:t>
      </w:r>
    </w:p>
    <w:p w:rsidR="0028289C" w:rsidRPr="002464BB" w:rsidRDefault="0028289C" w:rsidP="007C5F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4BB">
        <w:rPr>
          <w:rFonts w:ascii="Times New Roman" w:hAnsi="Times New Roman" w:cs="Times New Roman"/>
          <w:b/>
          <w:sz w:val="28"/>
          <w:szCs w:val="28"/>
        </w:rPr>
        <w:t>На основании полученных данных - эффективность реализации муниципальной программы по итогам 202</w:t>
      </w:r>
      <w:r w:rsidR="000F563E" w:rsidRPr="002464BB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2464BB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3C507C" w:rsidRPr="002464BB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2464B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8289C" w:rsidRPr="002464BB" w:rsidRDefault="0028289C" w:rsidP="007C5F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bCs/>
          <w:sz w:val="28"/>
          <w:szCs w:val="28"/>
        </w:rPr>
        <w:t>Согласно Порядка</w:t>
      </w:r>
      <w:r w:rsidRPr="00246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4BB">
        <w:rPr>
          <w:rFonts w:ascii="Times New Roman" w:hAnsi="Times New Roman" w:cs="Times New Roman"/>
          <w:sz w:val="28"/>
          <w:szCs w:val="28"/>
        </w:rPr>
        <w:t xml:space="preserve">расчет оценки эффективности реализации муниципальной программы осуществляется путем сопоставления эффективности реализации муниципальной программы по целевым индикаторам мероприятий с итоговой степенью </w:t>
      </w:r>
      <w:proofErr w:type="gramStart"/>
      <w:r w:rsidRPr="002464BB">
        <w:rPr>
          <w:rFonts w:ascii="Times New Roman" w:hAnsi="Times New Roman" w:cs="Times New Roman"/>
          <w:sz w:val="28"/>
          <w:szCs w:val="28"/>
        </w:rPr>
        <w:t>достижения плановых значений ожидаемых результатов реализации муниципальной программы</w:t>
      </w:r>
      <w:proofErr w:type="gramEnd"/>
      <w:r w:rsidRPr="002464BB">
        <w:rPr>
          <w:rFonts w:ascii="Times New Roman" w:hAnsi="Times New Roman" w:cs="Times New Roman"/>
          <w:sz w:val="28"/>
          <w:szCs w:val="28"/>
        </w:rPr>
        <w:t xml:space="preserve">. При проведении расчетов получены следующие результаты </w:t>
      </w:r>
      <w:r w:rsidRPr="002464B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464BB">
        <w:rPr>
          <w:rFonts w:ascii="Times New Roman" w:hAnsi="Times New Roman" w:cs="Times New Roman"/>
          <w:sz w:val="28"/>
          <w:szCs w:val="28"/>
          <w:vertAlign w:val="subscript"/>
        </w:rPr>
        <w:t>2020-202</w:t>
      </w:r>
      <w:r w:rsidR="007D606C" w:rsidRPr="002464B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464BB">
        <w:rPr>
          <w:rFonts w:ascii="Times New Roman" w:hAnsi="Times New Roman" w:cs="Times New Roman"/>
          <w:sz w:val="28"/>
          <w:szCs w:val="28"/>
        </w:rPr>
        <w:t>–</w:t>
      </w:r>
      <w:r w:rsidR="00B35E9F" w:rsidRPr="002464BB">
        <w:rPr>
          <w:rFonts w:ascii="Times New Roman" w:hAnsi="Times New Roman" w:cs="Times New Roman"/>
          <w:sz w:val="28"/>
          <w:szCs w:val="28"/>
        </w:rPr>
        <w:t>100</w:t>
      </w:r>
      <w:r w:rsidRPr="002464BB">
        <w:rPr>
          <w:rFonts w:ascii="Times New Roman" w:hAnsi="Times New Roman" w:cs="Times New Roman"/>
          <w:sz w:val="28"/>
          <w:szCs w:val="28"/>
        </w:rPr>
        <w:t>%; R</w:t>
      </w:r>
      <w:r w:rsidRPr="002464BB">
        <w:rPr>
          <w:rFonts w:ascii="Times New Roman" w:hAnsi="Times New Roman" w:cs="Times New Roman"/>
          <w:sz w:val="28"/>
          <w:szCs w:val="28"/>
          <w:vertAlign w:val="subscript"/>
        </w:rPr>
        <w:t>2020-202</w:t>
      </w:r>
      <w:r w:rsidR="007D606C" w:rsidRPr="002464B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464B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35E9F" w:rsidRPr="002464BB">
        <w:rPr>
          <w:rFonts w:ascii="Times New Roman" w:hAnsi="Times New Roman" w:cs="Times New Roman"/>
          <w:sz w:val="28"/>
          <w:szCs w:val="28"/>
        </w:rPr>
        <w:t xml:space="preserve">– </w:t>
      </w:r>
      <w:r w:rsidR="00247BC8" w:rsidRPr="002464BB">
        <w:rPr>
          <w:rFonts w:ascii="Times New Roman" w:hAnsi="Times New Roman" w:cs="Times New Roman"/>
          <w:sz w:val="28"/>
          <w:szCs w:val="28"/>
        </w:rPr>
        <w:t>95,71</w:t>
      </w:r>
      <w:r w:rsidR="00B35E9F" w:rsidRPr="002464BB">
        <w:rPr>
          <w:rFonts w:ascii="Times New Roman" w:hAnsi="Times New Roman" w:cs="Times New Roman"/>
          <w:sz w:val="28"/>
          <w:szCs w:val="28"/>
        </w:rPr>
        <w:t xml:space="preserve"> % (Е = 100 процентов, 90 &lt;= R &lt;= 100 процентов</w:t>
      </w:r>
      <w:r w:rsidRPr="002464BB">
        <w:rPr>
          <w:rFonts w:ascii="Times New Roman" w:hAnsi="Times New Roman" w:cs="Times New Roman"/>
          <w:sz w:val="28"/>
          <w:szCs w:val="28"/>
        </w:rPr>
        <w:t>).</w:t>
      </w:r>
    </w:p>
    <w:p w:rsidR="0028289C" w:rsidRPr="0028289C" w:rsidRDefault="0028289C" w:rsidP="007C5F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4BB">
        <w:rPr>
          <w:rFonts w:ascii="Times New Roman" w:hAnsi="Times New Roman" w:cs="Times New Roman"/>
          <w:b/>
          <w:sz w:val="28"/>
          <w:szCs w:val="28"/>
        </w:rPr>
        <w:t>На основании полученных данных - эффективность реализации муниципальной программы по итогам 2020-202</w:t>
      </w:r>
      <w:r w:rsidR="000F563E" w:rsidRPr="002464BB">
        <w:rPr>
          <w:rFonts w:ascii="Times New Roman" w:hAnsi="Times New Roman" w:cs="Times New Roman"/>
          <w:b/>
          <w:sz w:val="28"/>
          <w:szCs w:val="28"/>
        </w:rPr>
        <w:t>4</w:t>
      </w:r>
      <w:r w:rsidRPr="002464BB">
        <w:rPr>
          <w:rFonts w:ascii="Times New Roman" w:hAnsi="Times New Roman" w:cs="Times New Roman"/>
          <w:b/>
          <w:sz w:val="28"/>
          <w:szCs w:val="28"/>
        </w:rPr>
        <w:t xml:space="preserve"> гг. </w:t>
      </w:r>
      <w:r w:rsidR="00B35E9F" w:rsidRPr="002464BB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2464BB">
        <w:rPr>
          <w:rFonts w:ascii="Times New Roman" w:hAnsi="Times New Roman" w:cs="Times New Roman"/>
          <w:b/>
          <w:sz w:val="28"/>
          <w:szCs w:val="28"/>
        </w:rPr>
        <w:t>.</w:t>
      </w:r>
      <w:r w:rsidRPr="002828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89C" w:rsidRPr="00334B44" w:rsidRDefault="0028289C" w:rsidP="0028289C">
      <w:pPr>
        <w:jc w:val="both"/>
      </w:pPr>
    </w:p>
    <w:p w:rsidR="0028289C" w:rsidRDefault="0028289C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89C" w:rsidRDefault="0028289C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FAC" w:rsidRPr="00E47FAC" w:rsidRDefault="00E47FAC" w:rsidP="00C61929">
      <w:pPr>
        <w:keepNext/>
        <w:spacing w:after="0" w:line="240" w:lineRule="auto"/>
        <w:jc w:val="right"/>
        <w:outlineLvl w:val="7"/>
      </w:pPr>
      <w:bookmarkStart w:id="0" w:name="_GoBack"/>
      <w:bookmarkEnd w:id="0"/>
    </w:p>
    <w:sectPr w:rsidR="00E47FAC" w:rsidRPr="00E47FAC" w:rsidSect="00AE14B7">
      <w:headerReference w:type="default" r:id="rId8"/>
      <w:pgSz w:w="11906" w:h="16838" w:code="9"/>
      <w:pgMar w:top="993" w:right="1134" w:bottom="1134" w:left="1701" w:header="794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BB0" w:rsidRDefault="00FC0BB0" w:rsidP="00866B6D">
      <w:pPr>
        <w:spacing w:after="0" w:line="240" w:lineRule="auto"/>
      </w:pPr>
      <w:r>
        <w:separator/>
      </w:r>
    </w:p>
  </w:endnote>
  <w:endnote w:type="continuationSeparator" w:id="0">
    <w:p w:rsidR="00FC0BB0" w:rsidRDefault="00FC0BB0" w:rsidP="0086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BB0" w:rsidRDefault="00FC0BB0" w:rsidP="00866B6D">
      <w:pPr>
        <w:spacing w:after="0" w:line="240" w:lineRule="auto"/>
      </w:pPr>
      <w:r>
        <w:separator/>
      </w:r>
    </w:p>
  </w:footnote>
  <w:footnote w:type="continuationSeparator" w:id="0">
    <w:p w:rsidR="00FC0BB0" w:rsidRDefault="00FC0BB0" w:rsidP="00866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59820"/>
      <w:docPartObj>
        <w:docPartGallery w:val="Page Numbers (Top of Page)"/>
        <w:docPartUnique/>
      </w:docPartObj>
    </w:sdtPr>
    <w:sdtContent>
      <w:p w:rsidR="00AE14B7" w:rsidRDefault="009E3F34">
        <w:pPr>
          <w:pStyle w:val="a5"/>
          <w:jc w:val="center"/>
        </w:pPr>
        <w:fldSimple w:instr=" PAGE   \* MERGEFORMAT ">
          <w:r w:rsidR="002464BB">
            <w:rPr>
              <w:noProof/>
            </w:rPr>
            <w:t>5</w:t>
          </w:r>
        </w:fldSimple>
      </w:p>
    </w:sdtContent>
  </w:sdt>
  <w:p w:rsidR="00AE14B7" w:rsidRDefault="00AE14B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40983"/>
    <w:multiLevelType w:val="hybridMultilevel"/>
    <w:tmpl w:val="37ECD78A"/>
    <w:lvl w:ilvl="0" w:tplc="96942704">
      <w:start w:val="1"/>
      <w:numFmt w:val="decimal"/>
      <w:lvlText w:val="%1."/>
      <w:lvlJc w:val="left"/>
      <w:pPr>
        <w:ind w:left="-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2" w:hanging="360"/>
      </w:pPr>
    </w:lvl>
    <w:lvl w:ilvl="2" w:tplc="0419001B" w:tentative="1">
      <w:start w:val="1"/>
      <w:numFmt w:val="lowerRoman"/>
      <w:lvlText w:val="%3."/>
      <w:lvlJc w:val="right"/>
      <w:pPr>
        <w:ind w:left="1332" w:hanging="180"/>
      </w:pPr>
    </w:lvl>
    <w:lvl w:ilvl="3" w:tplc="0419000F" w:tentative="1">
      <w:start w:val="1"/>
      <w:numFmt w:val="decimal"/>
      <w:lvlText w:val="%4."/>
      <w:lvlJc w:val="left"/>
      <w:pPr>
        <w:ind w:left="2052" w:hanging="360"/>
      </w:pPr>
    </w:lvl>
    <w:lvl w:ilvl="4" w:tplc="04190019" w:tentative="1">
      <w:start w:val="1"/>
      <w:numFmt w:val="lowerLetter"/>
      <w:lvlText w:val="%5."/>
      <w:lvlJc w:val="left"/>
      <w:pPr>
        <w:ind w:left="2772" w:hanging="360"/>
      </w:pPr>
    </w:lvl>
    <w:lvl w:ilvl="5" w:tplc="0419001B" w:tentative="1">
      <w:start w:val="1"/>
      <w:numFmt w:val="lowerRoman"/>
      <w:lvlText w:val="%6."/>
      <w:lvlJc w:val="right"/>
      <w:pPr>
        <w:ind w:left="3492" w:hanging="180"/>
      </w:pPr>
    </w:lvl>
    <w:lvl w:ilvl="6" w:tplc="0419000F" w:tentative="1">
      <w:start w:val="1"/>
      <w:numFmt w:val="decimal"/>
      <w:lvlText w:val="%7."/>
      <w:lvlJc w:val="left"/>
      <w:pPr>
        <w:ind w:left="4212" w:hanging="360"/>
      </w:pPr>
    </w:lvl>
    <w:lvl w:ilvl="7" w:tplc="04190019" w:tentative="1">
      <w:start w:val="1"/>
      <w:numFmt w:val="lowerLetter"/>
      <w:lvlText w:val="%8."/>
      <w:lvlJc w:val="left"/>
      <w:pPr>
        <w:ind w:left="4932" w:hanging="360"/>
      </w:pPr>
    </w:lvl>
    <w:lvl w:ilvl="8" w:tplc="0419001B" w:tentative="1">
      <w:start w:val="1"/>
      <w:numFmt w:val="lowerRoman"/>
      <w:lvlText w:val="%9."/>
      <w:lvlJc w:val="right"/>
      <w:pPr>
        <w:ind w:left="56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gutterAtTop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6C0"/>
    <w:rsid w:val="00027EF6"/>
    <w:rsid w:val="000337FC"/>
    <w:rsid w:val="000427B6"/>
    <w:rsid w:val="00072504"/>
    <w:rsid w:val="000A2FE9"/>
    <w:rsid w:val="000A4AE9"/>
    <w:rsid w:val="000C7F01"/>
    <w:rsid w:val="000F563E"/>
    <w:rsid w:val="0015186A"/>
    <w:rsid w:val="001735DA"/>
    <w:rsid w:val="001A738D"/>
    <w:rsid w:val="00236349"/>
    <w:rsid w:val="002464BB"/>
    <w:rsid w:val="00247BC8"/>
    <w:rsid w:val="0028289C"/>
    <w:rsid w:val="00330A64"/>
    <w:rsid w:val="003A15B4"/>
    <w:rsid w:val="003C39CC"/>
    <w:rsid w:val="003C507C"/>
    <w:rsid w:val="003D5052"/>
    <w:rsid w:val="00400362"/>
    <w:rsid w:val="00404A23"/>
    <w:rsid w:val="00497397"/>
    <w:rsid w:val="0052020A"/>
    <w:rsid w:val="0052294F"/>
    <w:rsid w:val="00525905"/>
    <w:rsid w:val="00555ACF"/>
    <w:rsid w:val="00584CEB"/>
    <w:rsid w:val="00647D98"/>
    <w:rsid w:val="0069450D"/>
    <w:rsid w:val="006B6465"/>
    <w:rsid w:val="006D01F9"/>
    <w:rsid w:val="006E7830"/>
    <w:rsid w:val="0075142F"/>
    <w:rsid w:val="00755F7D"/>
    <w:rsid w:val="00777157"/>
    <w:rsid w:val="007C5F3E"/>
    <w:rsid w:val="007D606C"/>
    <w:rsid w:val="00825BE5"/>
    <w:rsid w:val="00866B6D"/>
    <w:rsid w:val="0095190C"/>
    <w:rsid w:val="009B7560"/>
    <w:rsid w:val="009E16C3"/>
    <w:rsid w:val="009E3F34"/>
    <w:rsid w:val="00A12FDD"/>
    <w:rsid w:val="00AE14B7"/>
    <w:rsid w:val="00B0041B"/>
    <w:rsid w:val="00B05517"/>
    <w:rsid w:val="00B35E9F"/>
    <w:rsid w:val="00B77124"/>
    <w:rsid w:val="00BA57FB"/>
    <w:rsid w:val="00BB7CCA"/>
    <w:rsid w:val="00C61929"/>
    <w:rsid w:val="00C67A03"/>
    <w:rsid w:val="00CE46C0"/>
    <w:rsid w:val="00D767C5"/>
    <w:rsid w:val="00D96573"/>
    <w:rsid w:val="00DE010C"/>
    <w:rsid w:val="00DE3FFE"/>
    <w:rsid w:val="00E06583"/>
    <w:rsid w:val="00E16A45"/>
    <w:rsid w:val="00E172A0"/>
    <w:rsid w:val="00E2786B"/>
    <w:rsid w:val="00E4761D"/>
    <w:rsid w:val="00E47FAC"/>
    <w:rsid w:val="00F04CB3"/>
    <w:rsid w:val="00F27D36"/>
    <w:rsid w:val="00F31E06"/>
    <w:rsid w:val="00F36747"/>
    <w:rsid w:val="00F3713B"/>
    <w:rsid w:val="00F40AF1"/>
    <w:rsid w:val="00F50DE1"/>
    <w:rsid w:val="00FC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A6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6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6B6D"/>
  </w:style>
  <w:style w:type="paragraph" w:styleId="a7">
    <w:name w:val="footer"/>
    <w:basedOn w:val="a"/>
    <w:link w:val="a8"/>
    <w:uiPriority w:val="99"/>
    <w:unhideWhenUsed/>
    <w:rsid w:val="00866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6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1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31</cp:revision>
  <cp:lastPrinted>2024-05-20T11:41:00Z</cp:lastPrinted>
  <dcterms:created xsi:type="dcterms:W3CDTF">2024-04-04T04:46:00Z</dcterms:created>
  <dcterms:modified xsi:type="dcterms:W3CDTF">2025-05-16T09:50:00Z</dcterms:modified>
</cp:coreProperties>
</file>