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B110" w14:textId="132DD026" w:rsidR="00E47FAC" w:rsidRDefault="003C39CC" w:rsidP="003E5869">
      <w:pPr>
        <w:ind w:right="-284"/>
        <w:rPr>
          <w:noProof/>
        </w:rPr>
      </w:pPr>
      <w:r>
        <w:rPr>
          <w:noProof/>
        </w:rPr>
        <w:drawing>
          <wp:inline distT="0" distB="0" distL="0" distR="0" wp14:anchorId="14F5AF32" wp14:editId="304EE0BD">
            <wp:extent cx="5690122" cy="322408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22" cy="322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85D9" w14:textId="48A78141" w:rsidR="0095190C" w:rsidRPr="0095190C" w:rsidRDefault="0095190C" w:rsidP="0095190C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40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эффективности реализации 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Таврического муниципального района Омской области «</w:t>
      </w:r>
      <w:r w:rsidR="00BF3D97" w:rsidRPr="00BF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 на 2020-2026 годы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4003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FC3CBD8" w14:textId="77777777" w:rsidR="0095190C" w:rsidRPr="0095190C" w:rsidRDefault="0095190C" w:rsidP="0095190C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E4018" w14:textId="19C97831" w:rsidR="0095190C" w:rsidRPr="0095190C" w:rsidRDefault="0095190C" w:rsidP="001A738D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ст.</w:t>
      </w:r>
      <w:r w:rsidR="00E4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179 Бюджетного кодекса Российской Федерации, постановлением Администрации Таврического муниципального района от 01 апреля 2016 г. № 297 «О внесении изменений в Порядок принятия решений о разработке муниципальных программ Таврического муниципального района Омской области, их формирования и реализации», руководствуясь Уставом Таврического муниципального района</w:t>
      </w:r>
      <w:r w:rsidR="001A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43036F" w14:textId="33BB603A" w:rsidR="0095190C" w:rsidRPr="0095190C" w:rsidRDefault="0095190C" w:rsidP="0095190C">
      <w:pPr>
        <w:numPr>
          <w:ilvl w:val="0"/>
          <w:numId w:val="1"/>
        </w:numPr>
        <w:spacing w:after="0" w:line="240" w:lineRule="auto"/>
        <w:ind w:right="-1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прилагаемы</w:t>
      </w:r>
      <w:r w:rsidR="0040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результаты оценки эффективности реализации 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Таврического муниципального района Омской области «</w:t>
      </w:r>
      <w:r w:rsidR="00BF3D97" w:rsidRPr="00BF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 на 2020-2026 годы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4003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30A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приложениям</w:t>
      </w:r>
      <w:r w:rsidR="00F2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</w:t>
      </w:r>
      <w:r w:rsidR="0033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F27D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47E76D06" w14:textId="68063833" w:rsidR="0095190C" w:rsidRDefault="00330A64" w:rsidP="00330A64">
      <w:pPr>
        <w:spacing w:after="0" w:line="240" w:lineRule="auto"/>
        <w:ind w:left="-142"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95190C" w:rsidRPr="00330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02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</w:t>
      </w:r>
      <w:r w:rsidR="0095190C" w:rsidRPr="0033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027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90C" w:rsidRPr="0033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400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5190C"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003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190C"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5190C" w:rsidRPr="00330A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удовлетворительной.</w:t>
      </w:r>
    </w:p>
    <w:p w14:paraId="25CF8932" w14:textId="68AEC0F8" w:rsidR="00400362" w:rsidRPr="00330A64" w:rsidRDefault="00400362" w:rsidP="00330A64">
      <w:pPr>
        <w:spacing w:after="0" w:line="240" w:lineRule="auto"/>
        <w:ind w:left="-142"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8D7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сельского хозяйства и продовольствия</w:t>
      </w:r>
      <w:r w:rsidR="003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Таврического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ответственному исполнителю муниципальной программы на основе проведенного анализа причин отклонений фактических значений показателей (ожидаемых результатов реализации муниципальной программы (подпрограмм), целевых индикаторов) от плановых значений обеспечить внесение изменений в муниципальную программу в целях повышения ее эффективности не позднее 31 декабря 2024 года.</w:t>
      </w:r>
    </w:p>
    <w:p w14:paraId="40DCDEB3" w14:textId="77777777" w:rsidR="00400362" w:rsidRPr="0095190C" w:rsidRDefault="00400362" w:rsidP="0095190C">
      <w:pPr>
        <w:tabs>
          <w:tab w:val="left" w:pos="180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B0382" w14:textId="1EA9BE70" w:rsidR="0095190C" w:rsidRPr="0095190C" w:rsidRDefault="0095190C" w:rsidP="0052020A">
      <w:pPr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190C" w:rsidRPr="0095190C" w:rsidSect="003E5869">
          <w:pgSz w:w="11906" w:h="16838"/>
          <w:pgMar w:top="1134" w:right="850" w:bottom="851" w:left="1843" w:header="708" w:footer="708" w:gutter="0"/>
          <w:cols w:space="708"/>
          <w:docGrid w:linePitch="360"/>
        </w:sectPr>
      </w:pPr>
      <w:r w:rsidRPr="00951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И. А. Баннов</w:t>
      </w:r>
    </w:p>
    <w:p w14:paraId="02045A69" w14:textId="77777777" w:rsidR="001C2769" w:rsidRPr="001C2769" w:rsidRDefault="001C2769" w:rsidP="001C276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7C0D218B" w14:textId="6857D48B" w:rsidR="001C2769" w:rsidRPr="001C2769" w:rsidRDefault="001C2769" w:rsidP="001C276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ECCC291" w14:textId="77777777" w:rsidR="001C2769" w:rsidRPr="001C2769" w:rsidRDefault="001C2769" w:rsidP="001C276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14:paraId="2EE643CD" w14:textId="0E9E4208" w:rsidR="001C2769" w:rsidRPr="001C2769" w:rsidRDefault="001C2769" w:rsidP="001C2769">
      <w:pPr>
        <w:pStyle w:val="a9"/>
        <w:jc w:val="right"/>
      </w:pPr>
      <w:r w:rsidRPr="001C2769">
        <w:rPr>
          <w:rFonts w:ascii="Times New Roman" w:hAnsi="Times New Roman" w:cs="Times New Roman"/>
          <w:sz w:val="28"/>
          <w:szCs w:val="28"/>
        </w:rPr>
        <w:t>№ ____________</w:t>
      </w:r>
    </w:p>
    <w:p w14:paraId="52C3DF92" w14:textId="77777777" w:rsidR="001C2769" w:rsidRPr="001C2769" w:rsidRDefault="001C2769" w:rsidP="001C27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4C48C" w14:textId="77777777" w:rsidR="001C2769" w:rsidRPr="001C2769" w:rsidRDefault="001C2769" w:rsidP="001C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7D506E7" w14:textId="3B0B49D8" w:rsidR="001C2769" w:rsidRPr="001C2769" w:rsidRDefault="001C2769" w:rsidP="001C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69">
        <w:rPr>
          <w:rFonts w:ascii="Times New Roman" w:hAnsi="Times New Roman" w:cs="Times New Roman"/>
          <w:b/>
          <w:sz w:val="28"/>
          <w:szCs w:val="28"/>
        </w:rPr>
        <w:t>к результатам оценки эффективности реализации</w:t>
      </w:r>
    </w:p>
    <w:p w14:paraId="79779B0A" w14:textId="58AD37D0" w:rsidR="001C2769" w:rsidRPr="001C2769" w:rsidRDefault="001C2769" w:rsidP="001C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69">
        <w:rPr>
          <w:rFonts w:ascii="Times New Roman" w:hAnsi="Times New Roman" w:cs="Times New Roman"/>
          <w:b/>
          <w:sz w:val="28"/>
          <w:szCs w:val="28"/>
        </w:rPr>
        <w:t>муниципальной программы Таврического муниципального района Омской области «Развитие сельского хозяйства и регулирование рынков сельскохозяйственной продукции, сырья и продовольствия на 2020-2026 годы»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C276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350DAA4" w14:textId="77777777" w:rsidR="001C2769" w:rsidRPr="001C2769" w:rsidRDefault="001C2769" w:rsidP="001C276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программ Таврического муниципального района Омской области, их формирования их формирования и реализации, утвержденного  Постановлением Администрации Таврического муниципального района от 01.04.2016 г. № 297 " О внесении изменений в Порядок принятия решений о  разработке муниципальных программ Таврического муниципального района Омской области ( Порядок) подготовлен отчет о реализации муниципальной программы Таврического муниципального района Омской области «Развитие сельского хозяйства и регулирование рынков сельскохозяйственной продукции, сырья и продовольствия на 2020-2026 годы» (Программа)  и на его основе проведена оценка эффективности реализации Программы за 202</w:t>
      </w:r>
      <w:r w:rsidRPr="001C2769">
        <w:rPr>
          <w:rFonts w:ascii="Times New Roman" w:hAnsi="Times New Roman" w:cs="Times New Roman"/>
          <w:sz w:val="28"/>
          <w:szCs w:val="28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>.</w:t>
      </w:r>
    </w:p>
    <w:p w14:paraId="648C3CFA" w14:textId="0F469F10" w:rsidR="001C2769" w:rsidRPr="001C2769" w:rsidRDefault="001C2769" w:rsidP="001C276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Программа была утверждена Постановлением Администрации Таврического муниципального района Омской области № 485 от 15.11.2019 года.</w:t>
      </w:r>
      <w:r w:rsidRPr="001C2769"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Исполнительно-распорядительный</w:t>
      </w:r>
      <w:r w:rsidRPr="001C2769"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орган</w:t>
      </w:r>
      <w:r w:rsidRPr="001C2769"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Таврического</w:t>
      </w:r>
      <w:r w:rsidRPr="001C2769"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муниципального района Омской области, являющейся ответственным исполнителем Программы - Администрация Таврического муниципального района Омской области (Администрация) в лице Управления сельского хозяйства и продовольствия администрации Таврического муниципального района (далее – Управление сельского хозяйства и продовольствия). Соисполнителями Программы являются Администрация и Управление имущественных отношений Администрации.</w:t>
      </w:r>
    </w:p>
    <w:p w14:paraId="730C3109" w14:textId="08430833" w:rsidR="001C2769" w:rsidRPr="001C2769" w:rsidRDefault="001C2769" w:rsidP="001C276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три подпрограммы, реализация которых направлена на создание условий для устойчивого развития сельского хозяйства и сельских территорий Таврического муниципального района.</w:t>
      </w:r>
    </w:p>
    <w:p w14:paraId="35C22DE4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условий для устойчивого развития сельского хозяйства и сельских территорий Таврического муниципального района.</w:t>
      </w:r>
    </w:p>
    <w:p w14:paraId="756754F9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Достижение указанной цели осуществляется путем решения следующих задач муниципальной программы:</w:t>
      </w:r>
    </w:p>
    <w:p w14:paraId="1833C9CC" w14:textId="255B4E6D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lastRenderedPageBreak/>
        <w:t>- задача 1. Обеспечение продовольственной безопасности Таврического района, повышение конкурентоспособности сельскохозяйственной продукции, сырья и продовольствия;</w:t>
      </w:r>
    </w:p>
    <w:p w14:paraId="15D15BF9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- задача 2. Улучшение кадрового и информационного обеспечения сельского хозяйства района;</w:t>
      </w:r>
    </w:p>
    <w:p w14:paraId="1BC2102A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-задача 3. Обеспечение экологической безопасности при обращении с отходами производства и потребления;</w:t>
      </w:r>
    </w:p>
    <w:p w14:paraId="7EF2D147" w14:textId="6D7567E1" w:rsidR="001C2769" w:rsidRPr="001C2769" w:rsidRDefault="001C2769" w:rsidP="00552D1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В структуре муниципальной программы предусмотрено три подпрограммы: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1 «Развитие малых форм хозяйствования»;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Подпрограмма 2 «Развитие кадрового потенциала и информационное обеспечение агропромышленного комплекса»; Подпрограмма 3 «Охрана окружающей среды в Таврическом муниципальном районе".</w:t>
      </w:r>
    </w:p>
    <w:p w14:paraId="69EF7DDB" w14:textId="2B4D9DC0" w:rsidR="001C2769" w:rsidRPr="009B0349" w:rsidRDefault="001C2769" w:rsidP="009B0349">
      <w:pPr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за 2020-202</w:t>
      </w:r>
      <w:r w:rsidR="00552D19">
        <w:rPr>
          <w:rFonts w:ascii="Times New Roman" w:hAnsi="Times New Roman" w:cs="Times New Roman"/>
          <w:sz w:val="28"/>
          <w:szCs w:val="28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 xml:space="preserve"> году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71 534 785,51</w:t>
      </w:r>
      <w:r w:rsid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рублей, из них за счет налоговых и неналоговых доходов, поступлений нецелевого характера из областного бюджета –</w:t>
      </w:r>
      <w:r w:rsidR="00552D19">
        <w:rPr>
          <w:rFonts w:ascii="Times New Roman" w:hAnsi="Times New Roman" w:cs="Times New Roman"/>
          <w:sz w:val="28"/>
          <w:szCs w:val="28"/>
        </w:rPr>
        <w:t xml:space="preserve"> 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 w:rsid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296,73</w:t>
      </w:r>
      <w:r w:rsidRPr="001C2769">
        <w:rPr>
          <w:rFonts w:ascii="Times New Roman" w:hAnsi="Times New Roman" w:cs="Times New Roman"/>
          <w:sz w:val="28"/>
          <w:szCs w:val="28"/>
        </w:rPr>
        <w:t xml:space="preserve"> рубля, поступлений целевого характера из областного бюджета – 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40 431 488,78</w:t>
      </w:r>
      <w:r w:rsid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рубля. В том числе, на реализацию мероприятий муниципальной программы в 202</w:t>
      </w:r>
      <w:r w:rsidR="00552D19">
        <w:rPr>
          <w:rFonts w:ascii="Times New Roman" w:hAnsi="Times New Roman" w:cs="Times New Roman"/>
          <w:sz w:val="28"/>
          <w:szCs w:val="28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33 286 499,85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19">
        <w:rPr>
          <w:rFonts w:ascii="Times New Roman" w:hAnsi="Times New Roman" w:cs="Times New Roman"/>
          <w:sz w:val="28"/>
          <w:szCs w:val="28"/>
        </w:rPr>
        <w:t>рублей, из них за счет налоговых и неналоговых доходов, поступлений нецелевого характера из областного бюджета –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12 811 869,65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19">
        <w:rPr>
          <w:rFonts w:ascii="Times New Roman" w:hAnsi="Times New Roman" w:cs="Times New Roman"/>
          <w:sz w:val="28"/>
          <w:szCs w:val="28"/>
        </w:rPr>
        <w:t>рублей, поступлений целевого характера из областного бюджета –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20 474 630,20</w:t>
      </w:r>
      <w:r w:rsidR="00552D19" w:rsidRPr="0055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19">
        <w:rPr>
          <w:rFonts w:ascii="Times New Roman" w:hAnsi="Times New Roman" w:cs="Times New Roman"/>
          <w:sz w:val="28"/>
          <w:szCs w:val="28"/>
        </w:rPr>
        <w:t>рублей.</w:t>
      </w:r>
      <w:r w:rsidR="00552D19" w:rsidRPr="00552D19">
        <w:rPr>
          <w:rFonts w:ascii="Times New Roman" w:hAnsi="Times New Roman" w:cs="Times New Roman"/>
          <w:sz w:val="28"/>
          <w:szCs w:val="28"/>
        </w:rPr>
        <w:t xml:space="preserve"> </w:t>
      </w:r>
      <w:r w:rsidR="00552D19">
        <w:rPr>
          <w:rFonts w:ascii="Times New Roman" w:hAnsi="Times New Roman" w:cs="Times New Roman"/>
          <w:sz w:val="28"/>
          <w:szCs w:val="28"/>
        </w:rPr>
        <w:tab/>
      </w:r>
      <w:r w:rsidRPr="00552D19">
        <w:rPr>
          <w:rFonts w:ascii="Times New Roman" w:hAnsi="Times New Roman" w:cs="Times New Roman"/>
          <w:sz w:val="28"/>
          <w:szCs w:val="28"/>
        </w:rPr>
        <w:t>Согласно Порядка расчет оценки эффективности реализации муниципальной программы осуществляется путем сопоставления</w:t>
      </w:r>
      <w:r w:rsidRPr="001C2769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по целевым индикаторам мероприятий с итоговой степенью достижения плановых значений ожидаемых результатов реализации муниципальной программы. При проведении расчетов, согласно приложения № 2, получены следующие результаты эффективности реализации муниципальной программы по целевым индикаторам за 202</w:t>
      </w:r>
      <w:r w:rsidR="00552D19">
        <w:rPr>
          <w:rFonts w:ascii="Times New Roman" w:hAnsi="Times New Roman" w:cs="Times New Roman"/>
          <w:sz w:val="28"/>
          <w:szCs w:val="28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1C27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769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552D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>) – 9</w:t>
      </w:r>
      <w:r w:rsidR="00552D19">
        <w:rPr>
          <w:rFonts w:ascii="Times New Roman" w:hAnsi="Times New Roman" w:cs="Times New Roman"/>
          <w:sz w:val="28"/>
          <w:szCs w:val="28"/>
        </w:rPr>
        <w:t>7,70</w:t>
      </w:r>
      <w:r w:rsidRPr="001C2769">
        <w:rPr>
          <w:rFonts w:ascii="Times New Roman" w:hAnsi="Times New Roman" w:cs="Times New Roman"/>
          <w:sz w:val="28"/>
          <w:szCs w:val="28"/>
        </w:rPr>
        <w:t xml:space="preserve"> %; степень достижения плановых значений ожидаемых результатов реализации муниципальной программы (R</w:t>
      </w:r>
      <w:r w:rsidRPr="001C2769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9B03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>) – 98,</w:t>
      </w:r>
      <w:r w:rsidR="00552D19">
        <w:rPr>
          <w:rFonts w:ascii="Times New Roman" w:hAnsi="Times New Roman" w:cs="Times New Roman"/>
          <w:sz w:val="28"/>
          <w:szCs w:val="28"/>
        </w:rPr>
        <w:t>62</w:t>
      </w:r>
      <w:r w:rsidRPr="001C2769">
        <w:rPr>
          <w:rFonts w:ascii="Times New Roman" w:hAnsi="Times New Roman" w:cs="Times New Roman"/>
          <w:sz w:val="28"/>
          <w:szCs w:val="28"/>
        </w:rPr>
        <w:t>% (в порядке 80 &lt;= Е &lt; 100 процентов, 70 &lt;= R &lt;= 100 процентов или Е = 100 процентов, 70 &lt;= R &lt; 90 процентов).</w:t>
      </w:r>
      <w:r w:rsidR="00552D19">
        <w:rPr>
          <w:rFonts w:ascii="Times New Roman" w:hAnsi="Times New Roman" w:cs="Times New Roman"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bCs/>
          <w:sz w:val="28"/>
          <w:szCs w:val="28"/>
        </w:rPr>
        <w:t>На основании полученных данных - эффективность реализации муниципальной</w:t>
      </w:r>
      <w:r w:rsidR="009B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B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bCs/>
          <w:sz w:val="28"/>
          <w:szCs w:val="28"/>
        </w:rPr>
        <w:t>по</w:t>
      </w:r>
      <w:r w:rsidR="009B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B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bCs/>
          <w:sz w:val="28"/>
          <w:szCs w:val="28"/>
        </w:rPr>
        <w:t>202</w:t>
      </w:r>
      <w:r w:rsidR="009B034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1C2769">
        <w:rPr>
          <w:rFonts w:ascii="Times New Roman" w:hAnsi="Times New Roman" w:cs="Times New Roman"/>
          <w:bCs/>
          <w:sz w:val="28"/>
          <w:szCs w:val="28"/>
        </w:rPr>
        <w:t>года</w:t>
      </w:r>
      <w:r w:rsidR="009B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bCs/>
          <w:sz w:val="28"/>
          <w:szCs w:val="28"/>
        </w:rPr>
        <w:t>удовлетворительна</w:t>
      </w:r>
      <w:r w:rsidR="009B0349">
        <w:rPr>
          <w:rFonts w:ascii="Times New Roman" w:hAnsi="Times New Roman" w:cs="Times New Roman"/>
          <w:bCs/>
          <w:sz w:val="28"/>
          <w:szCs w:val="28"/>
        </w:rPr>
        <w:t>я</w:t>
      </w:r>
      <w:r w:rsidRPr="001C2769">
        <w:rPr>
          <w:rFonts w:ascii="Times New Roman" w:hAnsi="Times New Roman" w:cs="Times New Roman"/>
          <w:bCs/>
          <w:sz w:val="28"/>
          <w:szCs w:val="28"/>
        </w:rPr>
        <w:t>.</w:t>
      </w:r>
      <w:r w:rsidR="009B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bCs/>
          <w:sz w:val="28"/>
          <w:szCs w:val="28"/>
        </w:rPr>
        <w:t>Согласно Порядка</w:t>
      </w:r>
      <w:r w:rsidRPr="001C2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769">
        <w:rPr>
          <w:rFonts w:ascii="Times New Roman" w:hAnsi="Times New Roman" w:cs="Times New Roman"/>
          <w:sz w:val="28"/>
          <w:szCs w:val="28"/>
        </w:rPr>
        <w:t>расчет оценки эффективности реализации муниципальной программы осуществляется путем сопоставления эффективности реализации муниципальной программы по целевым индикаторам мероприятий с итоговой степенью достижения плановых значений ожидаемых результатов реализации муниципальной программы. При проведении расчетов, согласно приложения № 4, получены следующие результаты эффективности реализации муниципальной программы по целевым индикаторам с 2020 - 202</w:t>
      </w:r>
      <w:r w:rsidR="009B0349">
        <w:rPr>
          <w:rFonts w:ascii="Times New Roman" w:hAnsi="Times New Roman" w:cs="Times New Roman"/>
          <w:sz w:val="28"/>
          <w:szCs w:val="28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1C27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769">
        <w:rPr>
          <w:rFonts w:ascii="Times New Roman" w:hAnsi="Times New Roman" w:cs="Times New Roman"/>
          <w:sz w:val="28"/>
          <w:szCs w:val="28"/>
          <w:vertAlign w:val="subscript"/>
        </w:rPr>
        <w:t>2020-202</w:t>
      </w:r>
      <w:r w:rsidR="009B03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 xml:space="preserve">) – </w:t>
      </w:r>
      <w:r w:rsidR="009B0349">
        <w:rPr>
          <w:rFonts w:ascii="Times New Roman" w:hAnsi="Times New Roman" w:cs="Times New Roman"/>
          <w:sz w:val="28"/>
          <w:szCs w:val="28"/>
        </w:rPr>
        <w:t>98,30</w:t>
      </w:r>
      <w:r w:rsidRPr="001C2769">
        <w:rPr>
          <w:rFonts w:ascii="Times New Roman" w:hAnsi="Times New Roman" w:cs="Times New Roman"/>
          <w:sz w:val="28"/>
          <w:szCs w:val="28"/>
        </w:rPr>
        <w:t xml:space="preserve"> %; степень </w:t>
      </w:r>
      <w:r w:rsidRPr="001C2769">
        <w:rPr>
          <w:rFonts w:ascii="Times New Roman" w:hAnsi="Times New Roman" w:cs="Times New Roman"/>
          <w:sz w:val="28"/>
          <w:szCs w:val="28"/>
        </w:rPr>
        <w:lastRenderedPageBreak/>
        <w:t>достижения плановых значений ожидаемых результатов реализации муниципальной программы (R</w:t>
      </w:r>
      <w:r w:rsidRPr="001C2769">
        <w:rPr>
          <w:rFonts w:ascii="Times New Roman" w:hAnsi="Times New Roman" w:cs="Times New Roman"/>
          <w:sz w:val="28"/>
          <w:szCs w:val="28"/>
          <w:vertAlign w:val="subscript"/>
        </w:rPr>
        <w:t>2020-202</w:t>
      </w:r>
      <w:r w:rsidR="009B03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2769">
        <w:rPr>
          <w:rFonts w:ascii="Times New Roman" w:hAnsi="Times New Roman" w:cs="Times New Roman"/>
          <w:sz w:val="28"/>
          <w:szCs w:val="28"/>
        </w:rPr>
        <w:t>) – 9</w:t>
      </w:r>
      <w:r w:rsidR="009B0349">
        <w:rPr>
          <w:rFonts w:ascii="Times New Roman" w:hAnsi="Times New Roman" w:cs="Times New Roman"/>
          <w:sz w:val="28"/>
          <w:szCs w:val="28"/>
        </w:rPr>
        <w:t>5,18</w:t>
      </w:r>
      <w:bookmarkStart w:id="0" w:name="_GoBack"/>
      <w:bookmarkEnd w:id="0"/>
      <w:r w:rsidRPr="001C2769">
        <w:rPr>
          <w:rFonts w:ascii="Times New Roman" w:hAnsi="Times New Roman" w:cs="Times New Roman"/>
          <w:sz w:val="28"/>
          <w:szCs w:val="28"/>
        </w:rPr>
        <w:t xml:space="preserve"> % (в порядке 80 &lt;= Е &lt; 100 процентов, 70 &lt;= R &lt;= 100 процентов или Е = 100 процентов, 70 &lt;= R &lt; 90 процентов). </w:t>
      </w:r>
      <w:r w:rsidRPr="001C2769">
        <w:rPr>
          <w:rFonts w:ascii="Times New Roman" w:hAnsi="Times New Roman" w:cs="Times New Roman"/>
          <w:bCs/>
          <w:sz w:val="28"/>
          <w:szCs w:val="28"/>
        </w:rPr>
        <w:t>На основании полученных данных - эффективность реализации муниципальной программы по итогам 2020-202</w:t>
      </w:r>
      <w:r w:rsidR="009B0349">
        <w:rPr>
          <w:rFonts w:ascii="Times New Roman" w:hAnsi="Times New Roman" w:cs="Times New Roman"/>
          <w:bCs/>
          <w:sz w:val="28"/>
          <w:szCs w:val="28"/>
        </w:rPr>
        <w:t>3</w:t>
      </w:r>
      <w:r w:rsidRPr="001C2769">
        <w:rPr>
          <w:rFonts w:ascii="Times New Roman" w:hAnsi="Times New Roman" w:cs="Times New Roman"/>
          <w:bCs/>
          <w:sz w:val="28"/>
          <w:szCs w:val="28"/>
        </w:rPr>
        <w:t xml:space="preserve"> года удовлетворительная. </w:t>
      </w:r>
    </w:p>
    <w:p w14:paraId="23BC1E37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2DFEDCA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0E85C28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D244C50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Заместитель Главы- начальник</w:t>
      </w:r>
    </w:p>
    <w:p w14:paraId="64907479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769">
        <w:rPr>
          <w:rFonts w:ascii="Times New Roman" w:hAnsi="Times New Roman" w:cs="Times New Roman"/>
          <w:sz w:val="28"/>
          <w:szCs w:val="28"/>
        </w:rPr>
        <w:t>Управления  сельского</w:t>
      </w:r>
      <w:proofErr w:type="gramEnd"/>
      <w:r w:rsidRPr="001C2769">
        <w:rPr>
          <w:rFonts w:ascii="Times New Roman" w:hAnsi="Times New Roman" w:cs="Times New Roman"/>
          <w:sz w:val="28"/>
          <w:szCs w:val="28"/>
        </w:rPr>
        <w:t xml:space="preserve"> хозяйства </w:t>
      </w:r>
    </w:p>
    <w:p w14:paraId="14D136E0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>и продовольствия                                                                В.В. Савицкий</w:t>
      </w:r>
    </w:p>
    <w:p w14:paraId="3932FEF3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2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B865E" w14:textId="77777777" w:rsidR="001C2769" w:rsidRPr="001C2769" w:rsidRDefault="001C2769" w:rsidP="001C27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C0EB909" w14:textId="77777777" w:rsidR="001C2769" w:rsidRPr="001C2769" w:rsidRDefault="001C2769" w:rsidP="001C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D75E5" w14:textId="77777777" w:rsidR="001C2769" w:rsidRPr="001C2769" w:rsidRDefault="001C2769" w:rsidP="001C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0B40C" w14:textId="77777777" w:rsidR="001C2769" w:rsidRPr="001C2769" w:rsidRDefault="001C2769" w:rsidP="001C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812BD" w14:textId="77777777" w:rsidR="001C2769" w:rsidRDefault="001C2769" w:rsidP="001C2769"/>
    <w:p w14:paraId="6C2B8229" w14:textId="1135F164" w:rsidR="00E47FAC" w:rsidRPr="00E47FAC" w:rsidRDefault="00E47FAC" w:rsidP="00C61929">
      <w:pPr>
        <w:keepNext/>
        <w:spacing w:after="0" w:line="240" w:lineRule="auto"/>
        <w:jc w:val="right"/>
        <w:outlineLvl w:val="7"/>
      </w:pPr>
    </w:p>
    <w:sectPr w:rsidR="00E47FAC" w:rsidRPr="00E47FAC" w:rsidSect="001C2769">
      <w:pgSz w:w="11906" w:h="16838" w:code="9"/>
      <w:pgMar w:top="1134" w:right="1134" w:bottom="1134" w:left="1701" w:header="79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F2ED" w14:textId="77777777" w:rsidR="00391FE3" w:rsidRDefault="00391FE3" w:rsidP="00866B6D">
      <w:pPr>
        <w:spacing w:after="0" w:line="240" w:lineRule="auto"/>
      </w:pPr>
      <w:r>
        <w:separator/>
      </w:r>
    </w:p>
  </w:endnote>
  <w:endnote w:type="continuationSeparator" w:id="0">
    <w:p w14:paraId="25E63694" w14:textId="77777777" w:rsidR="00391FE3" w:rsidRDefault="00391FE3" w:rsidP="0086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CD91C" w14:textId="77777777" w:rsidR="00391FE3" w:rsidRDefault="00391FE3" w:rsidP="00866B6D">
      <w:pPr>
        <w:spacing w:after="0" w:line="240" w:lineRule="auto"/>
      </w:pPr>
      <w:r>
        <w:separator/>
      </w:r>
    </w:p>
  </w:footnote>
  <w:footnote w:type="continuationSeparator" w:id="0">
    <w:p w14:paraId="36884409" w14:textId="77777777" w:rsidR="00391FE3" w:rsidRDefault="00391FE3" w:rsidP="0086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983"/>
    <w:multiLevelType w:val="hybridMultilevel"/>
    <w:tmpl w:val="37ECD78A"/>
    <w:lvl w:ilvl="0" w:tplc="96942704">
      <w:start w:val="1"/>
      <w:numFmt w:val="decimal"/>
      <w:lvlText w:val="%1."/>
      <w:lvlJc w:val="left"/>
      <w:pPr>
        <w:ind w:left="-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" w:hanging="360"/>
      </w:pPr>
    </w:lvl>
    <w:lvl w:ilvl="2" w:tplc="0419001B" w:tentative="1">
      <w:start w:val="1"/>
      <w:numFmt w:val="lowerRoman"/>
      <w:lvlText w:val="%3."/>
      <w:lvlJc w:val="right"/>
      <w:pPr>
        <w:ind w:left="1332" w:hanging="180"/>
      </w:pPr>
    </w:lvl>
    <w:lvl w:ilvl="3" w:tplc="0419000F" w:tentative="1">
      <w:start w:val="1"/>
      <w:numFmt w:val="decimal"/>
      <w:lvlText w:val="%4."/>
      <w:lvlJc w:val="left"/>
      <w:pPr>
        <w:ind w:left="2052" w:hanging="360"/>
      </w:pPr>
    </w:lvl>
    <w:lvl w:ilvl="4" w:tplc="04190019" w:tentative="1">
      <w:start w:val="1"/>
      <w:numFmt w:val="lowerLetter"/>
      <w:lvlText w:val="%5."/>
      <w:lvlJc w:val="left"/>
      <w:pPr>
        <w:ind w:left="2772" w:hanging="360"/>
      </w:pPr>
    </w:lvl>
    <w:lvl w:ilvl="5" w:tplc="0419001B" w:tentative="1">
      <w:start w:val="1"/>
      <w:numFmt w:val="lowerRoman"/>
      <w:lvlText w:val="%6."/>
      <w:lvlJc w:val="right"/>
      <w:pPr>
        <w:ind w:left="3492" w:hanging="180"/>
      </w:pPr>
    </w:lvl>
    <w:lvl w:ilvl="6" w:tplc="0419000F" w:tentative="1">
      <w:start w:val="1"/>
      <w:numFmt w:val="decimal"/>
      <w:lvlText w:val="%7."/>
      <w:lvlJc w:val="left"/>
      <w:pPr>
        <w:ind w:left="4212" w:hanging="360"/>
      </w:pPr>
    </w:lvl>
    <w:lvl w:ilvl="7" w:tplc="04190019" w:tentative="1">
      <w:start w:val="1"/>
      <w:numFmt w:val="lowerLetter"/>
      <w:lvlText w:val="%8."/>
      <w:lvlJc w:val="left"/>
      <w:pPr>
        <w:ind w:left="4932" w:hanging="360"/>
      </w:pPr>
    </w:lvl>
    <w:lvl w:ilvl="8" w:tplc="0419001B" w:tentative="1">
      <w:start w:val="1"/>
      <w:numFmt w:val="lowerRoman"/>
      <w:lvlText w:val="%9."/>
      <w:lvlJc w:val="right"/>
      <w:pPr>
        <w:ind w:left="56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0"/>
    <w:rsid w:val="00027EF6"/>
    <w:rsid w:val="000427B6"/>
    <w:rsid w:val="000C7F01"/>
    <w:rsid w:val="001A738D"/>
    <w:rsid w:val="001C2769"/>
    <w:rsid w:val="00330A64"/>
    <w:rsid w:val="00391FE3"/>
    <w:rsid w:val="003C39CC"/>
    <w:rsid w:val="003E5869"/>
    <w:rsid w:val="00400362"/>
    <w:rsid w:val="00404A23"/>
    <w:rsid w:val="0052020A"/>
    <w:rsid w:val="0052294F"/>
    <w:rsid w:val="00525905"/>
    <w:rsid w:val="00552D19"/>
    <w:rsid w:val="00647D98"/>
    <w:rsid w:val="006B6465"/>
    <w:rsid w:val="006D01F9"/>
    <w:rsid w:val="0075142F"/>
    <w:rsid w:val="00755F7D"/>
    <w:rsid w:val="00866B6D"/>
    <w:rsid w:val="008D7809"/>
    <w:rsid w:val="0095190C"/>
    <w:rsid w:val="009B0349"/>
    <w:rsid w:val="00AE1280"/>
    <w:rsid w:val="00B56F7B"/>
    <w:rsid w:val="00BA57FB"/>
    <w:rsid w:val="00BB7CCA"/>
    <w:rsid w:val="00BF3D97"/>
    <w:rsid w:val="00C61929"/>
    <w:rsid w:val="00CE46C0"/>
    <w:rsid w:val="00D802E8"/>
    <w:rsid w:val="00DE3FFE"/>
    <w:rsid w:val="00E4761D"/>
    <w:rsid w:val="00E47FAC"/>
    <w:rsid w:val="00F27D36"/>
    <w:rsid w:val="00F31E06"/>
    <w:rsid w:val="00F36747"/>
    <w:rsid w:val="00F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6029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B6D"/>
  </w:style>
  <w:style w:type="paragraph" w:styleId="a7">
    <w:name w:val="footer"/>
    <w:basedOn w:val="a"/>
    <w:link w:val="a8"/>
    <w:uiPriority w:val="99"/>
    <w:unhideWhenUsed/>
    <w:rsid w:val="0086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B6D"/>
  </w:style>
  <w:style w:type="paragraph" w:styleId="a9">
    <w:name w:val="No Spacing"/>
    <w:uiPriority w:val="1"/>
    <w:qFormat/>
    <w:rsid w:val="001C2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Selxoz</cp:lastModifiedBy>
  <cp:revision>9</cp:revision>
  <cp:lastPrinted>2024-05-13T04:48:00Z</cp:lastPrinted>
  <dcterms:created xsi:type="dcterms:W3CDTF">2024-04-04T04:46:00Z</dcterms:created>
  <dcterms:modified xsi:type="dcterms:W3CDTF">2024-05-13T04:49:00Z</dcterms:modified>
</cp:coreProperties>
</file>